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0F43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CA3A7D" w:rsidRPr="00F8212F">
        <w:rPr>
          <w:sz w:val="16"/>
        </w:rPr>
        <w:t>97.120</w:t>
      </w:r>
      <w:r>
        <w:tab/>
      </w:r>
      <w:r>
        <w:tab/>
      </w:r>
      <w:r>
        <w:rPr>
          <w:b/>
        </w:rPr>
        <w:t xml:space="preserve">Měsíc </w:t>
      </w:r>
      <w:r w:rsidR="00CA3A7D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 w:rsidTr="00CA3A7D">
        <w:trPr>
          <w:cantSplit/>
          <w:trHeight w:val="1701"/>
        </w:trPr>
        <w:tc>
          <w:tcPr>
            <w:tcW w:w="7371" w:type="dxa"/>
          </w:tcPr>
          <w:p w:rsidR="00A83EAB" w:rsidRDefault="00CA3A7D" w:rsidP="00CA3A7D">
            <w:pPr>
              <w:pStyle w:val="1StrNN-4-3"/>
            </w:pPr>
            <w:r w:rsidRPr="00F8212F">
              <w:t>Automatická elektrická řídicí zařízení pro domácnost a podobné účely –</w:t>
            </w:r>
            <w:r w:rsidRPr="00F8212F">
              <w:br/>
              <w:t>Část 2-10: Zvláštní požadavky na motorová spouštěcí relé</w:t>
            </w:r>
          </w:p>
        </w:tc>
        <w:tc>
          <w:tcPr>
            <w:tcW w:w="2552" w:type="dxa"/>
          </w:tcPr>
          <w:p w:rsidR="00A83EAB" w:rsidRDefault="00CA3A7D">
            <w:pPr>
              <w:pStyle w:val="1StrCN"/>
              <w:rPr>
                <w:b w:val="0"/>
                <w:sz w:val="28"/>
              </w:rPr>
            </w:pPr>
            <w:r w:rsidRPr="00F8212F">
              <w:t>ČSN</w:t>
            </w:r>
            <w:r w:rsidRPr="00F8212F">
              <w:br/>
              <w:t>EN 60730-2-10</w:t>
            </w:r>
            <w:r w:rsidRPr="00F8212F">
              <w:br/>
              <w:t>ZMĚNA A2</w:t>
            </w:r>
          </w:p>
          <w:p w:rsidR="00A83EAB" w:rsidRDefault="00CA3A7D">
            <w:pPr>
              <w:pStyle w:val="1StrTrZn"/>
            </w:pPr>
            <w:r w:rsidRPr="00F8212F">
              <w:t>36 1950</w:t>
            </w:r>
          </w:p>
        </w:tc>
      </w:tr>
    </w:tbl>
    <w:p w:rsidR="00CA3A7D" w:rsidRDefault="00CA3A7D" w:rsidP="00CA3A7D">
      <w:pPr>
        <w:pStyle w:val="Shodnost"/>
      </w:pPr>
      <w:r>
        <w:t>idt</w:t>
      </w:r>
      <w:r w:rsidRPr="00F8212F">
        <w:t> IEC 60730-2-10:1991/A</w:t>
      </w:r>
      <w:r>
        <w:t>MD</w:t>
      </w:r>
      <w:r w:rsidRPr="00F8212F">
        <w:t>2:2001</w:t>
      </w:r>
    </w:p>
    <w:p w:rsidR="00CA3A7D" w:rsidRPr="00F8212F" w:rsidRDefault="00CA3A7D" w:rsidP="00CA3A7D">
      <w:pPr>
        <w:pStyle w:val="Cizojazynnzev"/>
      </w:pPr>
      <w:r w:rsidRPr="00F8212F">
        <w:t>Amendment</w:t>
      </w:r>
    </w:p>
    <w:p w:rsidR="00CA3A7D" w:rsidRPr="00F8212F" w:rsidRDefault="00CA3A7D" w:rsidP="00CA3A7D">
      <w:pPr>
        <w:pStyle w:val="Cizojazynnzev"/>
        <w:rPr>
          <w:lang w:val="fr-FR"/>
        </w:rPr>
      </w:pPr>
      <w:r w:rsidRPr="00F8212F">
        <w:rPr>
          <w:lang w:val="fr-FR"/>
        </w:rPr>
        <w:t>Amendement</w:t>
      </w:r>
    </w:p>
    <w:p w:rsidR="00CA3A7D" w:rsidRPr="00F8212F" w:rsidRDefault="00CA3A7D" w:rsidP="00CA3A7D">
      <w:pPr>
        <w:pStyle w:val="Cizojazynnzev"/>
        <w:spacing w:after="840"/>
        <w:rPr>
          <w:lang w:val="de-DE"/>
        </w:rPr>
      </w:pPr>
      <w:r w:rsidRPr="00F8212F">
        <w:rPr>
          <w:lang w:val="de-DE"/>
        </w:rPr>
        <w:t>Änderung</w:t>
      </w:r>
    </w:p>
    <w:p w:rsidR="00CA3A7D" w:rsidRPr="00F8212F" w:rsidRDefault="00CA3A7D" w:rsidP="00CA3A7D">
      <w:pPr>
        <w:pStyle w:val="Textnormy"/>
      </w:pPr>
      <w:r w:rsidRPr="00EA2565">
        <w:rPr>
          <w:spacing w:val="-2"/>
        </w:rPr>
        <w:t xml:space="preserve">Tato změna ČSN EN 60730-2-10:1997 je českou verzí změny EN 60730-2-10:1995/A2:2002. </w:t>
      </w:r>
      <w:r w:rsidRPr="00E56C8F">
        <w:t xml:space="preserve">Překlad byl zajištěn </w:t>
      </w:r>
      <w:r>
        <w:t>Českou agenturou pro standardizaci</w:t>
      </w:r>
      <w:r w:rsidRPr="00E56C8F">
        <w:t>.</w:t>
      </w:r>
      <w:r>
        <w:t xml:space="preserve"> </w:t>
      </w:r>
      <w:r w:rsidRPr="00F8212F">
        <w:t>Má stejný status jako oficiální verze.</w:t>
      </w:r>
    </w:p>
    <w:p w:rsidR="00CA3A7D" w:rsidRPr="00F8212F" w:rsidRDefault="00CA3A7D" w:rsidP="00CA3A7D">
      <w:pPr>
        <w:pStyle w:val="Textnormy"/>
        <w:rPr>
          <w:lang w:val="en-GB"/>
        </w:rPr>
      </w:pPr>
      <w:r w:rsidRPr="00F8212F">
        <w:rPr>
          <w:lang w:val="en-GB"/>
        </w:rPr>
        <w:t xml:space="preserve">This Amendment to ČSN EN 60730-2-10:1997 </w:t>
      </w:r>
      <w:r w:rsidRPr="00F8212F">
        <w:rPr>
          <w:spacing w:val="-7"/>
          <w:lang w:val="en-GB"/>
        </w:rPr>
        <w:t xml:space="preserve">is the Czech </w:t>
      </w:r>
      <w:r w:rsidRPr="00F8212F">
        <w:rPr>
          <w:lang w:val="en-GB"/>
        </w:rPr>
        <w:t>version of the Amendment</w:t>
      </w:r>
      <w:r w:rsidRPr="00F8212F">
        <w:rPr>
          <w:lang w:val="en-GB"/>
        </w:rPr>
        <w:tab/>
      </w:r>
      <w:r w:rsidRPr="00F8212F">
        <w:rPr>
          <w:lang w:val="en-GB"/>
        </w:rPr>
        <w:br/>
        <w:t xml:space="preserve">EN 60730-2-10:1995/A2:2002. </w:t>
      </w:r>
      <w:r w:rsidRPr="001962C3">
        <w:rPr>
          <w:lang w:val="en-GB"/>
        </w:rPr>
        <w:t xml:space="preserve">It was translated by the Czech </w:t>
      </w:r>
      <w:r>
        <w:rPr>
          <w:lang w:val="en-GB"/>
        </w:rPr>
        <w:t>Standardization Agency</w:t>
      </w:r>
      <w:r>
        <w:t>.</w:t>
      </w:r>
      <w:r w:rsidRPr="00F8212F">
        <w:rPr>
          <w:lang w:val="en-GB"/>
        </w:rPr>
        <w:t xml:space="preserve"> It has the same status as the official version.</w:t>
      </w:r>
    </w:p>
    <w:p w:rsidR="00CA3A7D" w:rsidRPr="007A6A28" w:rsidRDefault="00CA3A7D" w:rsidP="00CA3A7D">
      <w:pPr>
        <w:pStyle w:val="Textnormy"/>
        <w:spacing w:before="240"/>
      </w:pPr>
      <w:r w:rsidRPr="004F7061">
        <w:rPr>
          <w:b/>
        </w:rPr>
        <w:t xml:space="preserve">ČSN EN 60730-2-10 (36 1950) Automatická elektrická řídicí zařízení pro domácnost a podobné účely – Část 2: Zvláštní požadavky na motorová spouštěcí relé </w:t>
      </w:r>
      <w:r w:rsidRPr="004F7061">
        <w:t>z ledna 1997 se mění takto:</w:t>
      </w:r>
    </w:p>
    <w:p w:rsidR="00CA3A7D" w:rsidRPr="00CA3A7D" w:rsidRDefault="00CA3A7D" w:rsidP="00CA3A7D">
      <w:pPr>
        <w:pStyle w:val="Textnormy"/>
      </w:pPr>
      <w:r w:rsidRPr="00CA3A7D">
        <w:t>Název ČSN EN 60730-2-10 (36 1950) Automatická elektrická řídicí zařízení pro domácnost a podobné účely – Část 2: Zvláštní požadavky na motorová spouštěcí relé z ledna 1997 se na základě změny</w:t>
      </w:r>
      <w:r>
        <w:tab/>
      </w:r>
      <w:r w:rsidRPr="00CA3A7D">
        <w:br/>
        <w:t>EN 60730-2-10:1995/A2:2002 mění takto:</w:t>
      </w:r>
    </w:p>
    <w:p w:rsidR="00CA3A7D" w:rsidRPr="004F7061" w:rsidRDefault="00CA3A7D" w:rsidP="00CA3A7D">
      <w:pPr>
        <w:pStyle w:val="Textnormy"/>
        <w:rPr>
          <w:b/>
        </w:rPr>
      </w:pPr>
      <w:r w:rsidRPr="004F7061">
        <w:rPr>
          <w:b/>
        </w:rPr>
        <w:t>Automatická elektrická řídicí zařízení pro domácnost a podobné účely – Část 2-10: Zvláštní požadavky na motorová spouštěcí relé</w:t>
      </w:r>
    </w:p>
    <w:p w:rsidR="00CA3A7D" w:rsidRPr="00F8212F" w:rsidRDefault="00CA3A7D" w:rsidP="00CA3A7D">
      <w:pPr>
        <w:pStyle w:val="Nadpiskapitoly"/>
      </w:pPr>
      <w:r w:rsidRPr="00F8212F">
        <w:t>Národní předmluva</w:t>
      </w:r>
    </w:p>
    <w:p w:rsidR="00CA3A7D" w:rsidRPr="00DB0746" w:rsidRDefault="00CA3A7D" w:rsidP="00CA3A7D">
      <w:pPr>
        <w:pStyle w:val="Textnormy"/>
        <w:rPr>
          <w:i/>
          <w:iCs/>
        </w:rPr>
      </w:pPr>
      <w:r>
        <w:rPr>
          <w:i/>
          <w:iCs/>
        </w:rPr>
        <w:t>Do</w:t>
      </w:r>
      <w:r w:rsidRPr="00DB0746">
        <w:rPr>
          <w:i/>
          <w:iCs/>
        </w:rPr>
        <w:t xml:space="preserve"> článku Informace o citovaných dokumentech se </w:t>
      </w:r>
      <w:r>
        <w:rPr>
          <w:i/>
          <w:iCs/>
        </w:rPr>
        <w:t>doplňuje</w:t>
      </w:r>
      <w:r w:rsidRPr="00DB0746">
        <w:rPr>
          <w:i/>
          <w:iCs/>
        </w:rPr>
        <w:t>:</w:t>
      </w:r>
    </w:p>
    <w:p w:rsidR="00CA3A7D" w:rsidRDefault="00CA3A7D" w:rsidP="00CA3A7D">
      <w:pPr>
        <w:pStyle w:val="Textnormy"/>
      </w:pPr>
      <w:r w:rsidRPr="00F8212F">
        <w:t>IEC 60730-1</w:t>
      </w:r>
      <w:r>
        <w:t>:1995</w:t>
      </w:r>
      <w:r w:rsidRPr="002E07A8">
        <w:rPr>
          <w:rFonts w:eastAsia="Arial Unicode MS" w:cs="Arial"/>
        </w:rPr>
        <w:t> </w:t>
      </w:r>
      <w:r w:rsidRPr="00F8212F">
        <w:t>zavedena v ČSN EN 60730-1</w:t>
      </w:r>
      <w:r>
        <w:t>:1997</w:t>
      </w:r>
      <w:r w:rsidRPr="00F8212F">
        <w:t xml:space="preserve"> (36 1960) Automatická elektrická řídicí zařízení pro domácnost a podobné účely – Část 1: </w:t>
      </w:r>
      <w:r>
        <w:t>O</w:t>
      </w:r>
      <w:r w:rsidRPr="00F8212F">
        <w:t>becné požadavky</w:t>
      </w:r>
    </w:p>
    <w:p w:rsidR="00CA3A7D" w:rsidRPr="00F8212F" w:rsidRDefault="00CA3A7D" w:rsidP="00CA3A7D">
      <w:pPr>
        <w:pStyle w:val="Nadpislnku"/>
      </w:pPr>
      <w:r w:rsidRPr="00F8212F">
        <w:t>Informativní údaje z IEC 60730-2-</w:t>
      </w:r>
      <w:r>
        <w:t>10:</w:t>
      </w:r>
      <w:r w:rsidRPr="00F8212F">
        <w:t>1991/A</w:t>
      </w:r>
      <w:r>
        <w:t>MD</w:t>
      </w:r>
      <w:r w:rsidRPr="00F8212F">
        <w:t>2:2001</w:t>
      </w:r>
    </w:p>
    <w:p w:rsidR="00CA3A7D" w:rsidRPr="00F8212F" w:rsidRDefault="00CA3A7D" w:rsidP="00CA3A7D">
      <w:pPr>
        <w:pStyle w:val="Textnormy"/>
      </w:pPr>
      <w:r w:rsidRPr="00F8212F">
        <w:t>T</w:t>
      </w:r>
      <w:r>
        <w:t>u</w:t>
      </w:r>
      <w:r w:rsidRPr="00F8212F">
        <w:t>to změn</w:t>
      </w:r>
      <w:r>
        <w:t>u</w:t>
      </w:r>
      <w:r w:rsidRPr="00F8212F">
        <w:t xml:space="preserve"> </w:t>
      </w:r>
      <w:r>
        <w:t>vypracovala</w:t>
      </w:r>
      <w:r w:rsidRPr="00F8212F">
        <w:t xml:space="preserve"> technick</w:t>
      </w:r>
      <w:r>
        <w:t>á</w:t>
      </w:r>
      <w:r w:rsidRPr="00F8212F">
        <w:t xml:space="preserve"> komis</w:t>
      </w:r>
      <w:r>
        <w:t>e</w:t>
      </w:r>
      <w:r w:rsidRPr="00F8212F">
        <w:t xml:space="preserve"> IEC</w:t>
      </w:r>
      <w:r>
        <w:t xml:space="preserve">/TC </w:t>
      </w:r>
      <w:r w:rsidRPr="00F8212F">
        <w:t>72</w:t>
      </w:r>
      <w:r w:rsidRPr="00007C7A">
        <w:rPr>
          <w:i/>
        </w:rPr>
        <w:t xml:space="preserve"> Automatická řídicí zařízení pro domácnost</w:t>
      </w:r>
      <w:r w:rsidRPr="00F8212F">
        <w:t>.</w:t>
      </w:r>
    </w:p>
    <w:p w:rsidR="00CA3A7D" w:rsidRPr="00F8212F" w:rsidRDefault="00CA3A7D" w:rsidP="00CA3A7D">
      <w:pPr>
        <w:pStyle w:val="Textnormy"/>
        <w:keepNext/>
        <w:spacing w:after="240"/>
      </w:pPr>
      <w:r w:rsidRPr="00F8212F">
        <w:t xml:space="preserve">Text této změny </w:t>
      </w:r>
      <w:r>
        <w:t>se zakládá na</w:t>
      </w:r>
      <w:r w:rsidRPr="00F8212F">
        <w:t> těchto dokumen</w:t>
      </w:r>
      <w:r>
        <w:t>tech</w:t>
      </w:r>
      <w:r w:rsidRPr="00F8212F"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CA3A7D" w:rsidRPr="00F8212F" w:rsidTr="0015765B">
        <w:trPr>
          <w:jc w:val="center"/>
        </w:trPr>
        <w:tc>
          <w:tcPr>
            <w:tcW w:w="2268" w:type="dxa"/>
          </w:tcPr>
          <w:p w:rsidR="00CA3A7D" w:rsidRPr="00F8212F" w:rsidRDefault="00CA3A7D" w:rsidP="0015765B">
            <w:pPr>
              <w:pStyle w:val="Texttabulky"/>
              <w:jc w:val="center"/>
            </w:pPr>
            <w:r w:rsidRPr="00F8212F">
              <w:t>FDIS</w:t>
            </w:r>
          </w:p>
        </w:tc>
        <w:tc>
          <w:tcPr>
            <w:tcW w:w="2268" w:type="dxa"/>
          </w:tcPr>
          <w:p w:rsidR="00CA3A7D" w:rsidRPr="00F8212F" w:rsidRDefault="00CA3A7D" w:rsidP="0015765B">
            <w:pPr>
              <w:pStyle w:val="Texttabulky"/>
              <w:jc w:val="center"/>
            </w:pPr>
            <w:r w:rsidRPr="00F8212F">
              <w:t>Zpráva o hlasování</w:t>
            </w:r>
          </w:p>
        </w:tc>
      </w:tr>
      <w:tr w:rsidR="00CA3A7D" w:rsidRPr="00F8212F" w:rsidTr="0015765B">
        <w:trPr>
          <w:jc w:val="center"/>
        </w:trPr>
        <w:tc>
          <w:tcPr>
            <w:tcW w:w="2268" w:type="dxa"/>
          </w:tcPr>
          <w:p w:rsidR="00CA3A7D" w:rsidRPr="00F8212F" w:rsidRDefault="00CA3A7D" w:rsidP="0015765B">
            <w:pPr>
              <w:pStyle w:val="Texttabulky"/>
              <w:jc w:val="center"/>
            </w:pPr>
            <w:r w:rsidRPr="00F8212F">
              <w:t>72/474/FDIS</w:t>
            </w:r>
          </w:p>
        </w:tc>
        <w:tc>
          <w:tcPr>
            <w:tcW w:w="2268" w:type="dxa"/>
          </w:tcPr>
          <w:p w:rsidR="00CA3A7D" w:rsidRPr="00F8212F" w:rsidRDefault="00CA3A7D" w:rsidP="0015765B">
            <w:pPr>
              <w:pStyle w:val="Texttabulky"/>
              <w:jc w:val="center"/>
            </w:pPr>
            <w:r w:rsidRPr="00F8212F">
              <w:t>72/495/RVD</w:t>
            </w:r>
          </w:p>
        </w:tc>
      </w:tr>
    </w:tbl>
    <w:p w:rsidR="00CA3A7D" w:rsidRPr="006535C4" w:rsidRDefault="00CA3A7D" w:rsidP="00CA3A7D">
      <w:pPr>
        <w:pStyle w:val="Textnormy"/>
        <w:spacing w:before="240"/>
      </w:pPr>
      <w:r w:rsidRPr="006535C4">
        <w:t>Úplnou informaci o hlasování při schvalování této změny lze najít ve zprávě o hlasování ve výše uvedené tabulce.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CA3A7D" w:rsidRPr="003C07C2" w:rsidRDefault="00CA3A7D" w:rsidP="00CA3A7D">
      <w:pPr>
        <w:pStyle w:val="Textnormy"/>
      </w:pPr>
      <w:r w:rsidRPr="003C07C2">
        <w:lastRenderedPageBreak/>
        <w:t xml:space="preserve">Komise rozhodla, že obsah této změny a základní publikace zůstane nezměněn až do data příští prověrky </w:t>
      </w:r>
      <w:r>
        <w:br/>
      </w:r>
      <w:r w:rsidRPr="003C07C2">
        <w:t>(stability date) uvedeného na webových stránkách IEC (</w:t>
      </w:r>
      <w:hyperlink r:id="rId13" w:history="1">
        <w:r w:rsidRPr="003C07C2">
          <w:rPr>
            <w:u w:val="single"/>
          </w:rPr>
          <w:t>http://webstore.iec.ch</w:t>
        </w:r>
      </w:hyperlink>
      <w:r w:rsidRPr="003C07C2">
        <w:t>) v údajích o této publikaci. K tomuto datu bude publikace buď</w:t>
      </w:r>
    </w:p>
    <w:p w:rsidR="00CA3A7D" w:rsidRPr="00F8212F" w:rsidRDefault="00CA3A7D" w:rsidP="00A223E1">
      <w:pPr>
        <w:pStyle w:val="Seznamvnorm"/>
      </w:pPr>
      <w:r w:rsidRPr="00F8212F">
        <w:t>znovu potvrzena;</w:t>
      </w:r>
    </w:p>
    <w:p w:rsidR="00CA3A7D" w:rsidRPr="00F8212F" w:rsidRDefault="00CA3A7D" w:rsidP="00A223E1">
      <w:pPr>
        <w:pStyle w:val="Seznamvnorm"/>
      </w:pPr>
      <w:r w:rsidRPr="00F8212F">
        <w:t>zrušena;</w:t>
      </w:r>
    </w:p>
    <w:p w:rsidR="00CA3A7D" w:rsidRPr="00F8212F" w:rsidRDefault="00CA3A7D" w:rsidP="00A223E1">
      <w:pPr>
        <w:pStyle w:val="Seznamvnorm"/>
      </w:pPr>
      <w:r w:rsidRPr="00F8212F">
        <w:t>nahrazena revidovaným vydáním</w:t>
      </w:r>
      <w:r>
        <w:t>,</w:t>
      </w:r>
      <w:r w:rsidRPr="00F8212F">
        <w:t xml:space="preserve"> nebo</w:t>
      </w:r>
    </w:p>
    <w:p w:rsidR="00CA3A7D" w:rsidRPr="00F8212F" w:rsidRDefault="00CA3A7D" w:rsidP="00A223E1">
      <w:pPr>
        <w:pStyle w:val="Seznamvnorm"/>
      </w:pPr>
      <w:r w:rsidRPr="00F8212F">
        <w:t>změněna.</w:t>
      </w:r>
    </w:p>
    <w:p w:rsidR="00CA3A7D" w:rsidRPr="00F8212F" w:rsidRDefault="00CA3A7D" w:rsidP="00CA3A7D">
      <w:pPr>
        <w:pStyle w:val="Nadpislnku"/>
      </w:pPr>
      <w:r w:rsidRPr="00F8212F">
        <w:t>Upozornění na národní poznámku</w:t>
      </w:r>
    </w:p>
    <w:p w:rsidR="00CA3A7D" w:rsidRPr="00F8212F" w:rsidRDefault="00CA3A7D" w:rsidP="00CA3A7D">
      <w:pPr>
        <w:pStyle w:val="Textnormy"/>
      </w:pPr>
      <w:r>
        <w:t>K článku 4.2</w:t>
      </w:r>
      <w:r w:rsidRPr="00F8212F">
        <w:t xml:space="preserve"> </w:t>
      </w:r>
      <w:r>
        <w:t xml:space="preserve">byla </w:t>
      </w:r>
      <w:r w:rsidRPr="00F8212F">
        <w:t>doplněna národní poznámka</w:t>
      </w:r>
      <w:r>
        <w:t xml:space="preserve"> vysvětlujícího charakteru</w:t>
      </w:r>
      <w:r w:rsidRPr="00F8212F">
        <w:t>.</w:t>
      </w:r>
    </w:p>
    <w:p w:rsidR="00CA3A7D" w:rsidRPr="00F8212F" w:rsidRDefault="00CA3A7D" w:rsidP="00CA3A7D">
      <w:pPr>
        <w:pStyle w:val="Nadpislnku"/>
      </w:pPr>
      <w:r w:rsidRPr="00F8212F">
        <w:t>Vypracování změny normy</w:t>
      </w:r>
    </w:p>
    <w:p w:rsidR="00CA3A7D" w:rsidRPr="00F8212F" w:rsidRDefault="00CA3A7D" w:rsidP="00CA3A7D">
      <w:pPr>
        <w:pStyle w:val="Textnormy"/>
      </w:pPr>
      <w:r w:rsidRPr="00F8212F">
        <w:t>Zpracovatel: Jan Horský, Elnormservis Brno, IČ</w:t>
      </w:r>
      <w:r>
        <w:t xml:space="preserve">O </w:t>
      </w:r>
      <w:r w:rsidRPr="00F8212F">
        <w:t>16316151</w:t>
      </w:r>
    </w:p>
    <w:p w:rsidR="00CA3A7D" w:rsidRPr="00F8212F" w:rsidRDefault="00CA3A7D" w:rsidP="00CA3A7D">
      <w:pPr>
        <w:pStyle w:val="Textnormy"/>
      </w:pPr>
      <w:r w:rsidRPr="00F8212F">
        <w:t>Technická normalizační komise: TNK 33 Elektrické spotřebiče a elektrické ruční nářadí</w:t>
      </w:r>
    </w:p>
    <w:p w:rsidR="00CA3A7D" w:rsidRDefault="00CA3A7D" w:rsidP="00CA3A7D">
      <w:pPr>
        <w:pStyle w:val="Textnormy"/>
      </w:pPr>
      <w:r w:rsidRPr="00F8212F">
        <w:t xml:space="preserve">Pracovník </w:t>
      </w:r>
      <w:r>
        <w:t>České agentury pro standardizaci</w:t>
      </w:r>
      <w:r w:rsidRPr="00F8212F">
        <w:t>: Helena Musilová</w:t>
      </w:r>
    </w:p>
    <w:p w:rsidR="00CA3A7D" w:rsidRPr="0075254C" w:rsidRDefault="00CA3A7D" w:rsidP="00CA3A7D">
      <w:pPr>
        <w:pStyle w:val="Textnormy"/>
        <w:rPr>
          <w:rFonts w:cs="Arial"/>
        </w:rPr>
      </w:pPr>
      <w:r w:rsidRPr="00316BC8">
        <w:rPr>
          <w:rFonts w:cs="Arial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CA3A7D" w:rsidRPr="00F8212F" w:rsidRDefault="00CA3A7D" w:rsidP="00CA3A7D">
      <w:pPr>
        <w:pStyle w:val="Textnormy"/>
      </w:pPr>
      <w:bookmarkStart w:id="0" w:name="_GoBack"/>
      <w:bookmarkEnd w:id="0"/>
    </w:p>
    <w:p w:rsidR="00CA3A7D" w:rsidRPr="00F8212F" w:rsidRDefault="00CA3A7D" w:rsidP="00CA3A7D">
      <w:pPr>
        <w:pStyle w:val="EvropNorma"/>
        <w:tabs>
          <w:tab w:val="clear" w:pos="8505"/>
          <w:tab w:val="left" w:pos="7230"/>
        </w:tabs>
        <w:rPr>
          <w:kern w:val="0"/>
        </w:rPr>
      </w:pPr>
      <w:r w:rsidRPr="00F8212F">
        <w:rPr>
          <w:kern w:val="0"/>
        </w:rPr>
        <w:lastRenderedPageBreak/>
        <w:t>EVROPSKÁ NORMA</w:t>
      </w:r>
      <w:r w:rsidRPr="00F8212F">
        <w:rPr>
          <w:kern w:val="0"/>
        </w:rPr>
        <w:tab/>
        <w:t>EN 60730-2-10</w:t>
      </w:r>
      <w:r>
        <w:rPr>
          <w:kern w:val="0"/>
        </w:rPr>
        <w:t>:1995</w:t>
      </w:r>
      <w:r w:rsidRPr="00F8212F">
        <w:rPr>
          <w:kern w:val="0"/>
        </w:rPr>
        <w:t>/A2</w:t>
      </w:r>
      <w:r w:rsidRPr="00F8212F">
        <w:rPr>
          <w:kern w:val="0"/>
        </w:rPr>
        <w:br/>
        <w:t>EUROPEAN STANDARD</w:t>
      </w:r>
      <w:r w:rsidRPr="00F8212F">
        <w:rPr>
          <w:kern w:val="0"/>
        </w:rPr>
        <w:br/>
        <w:t>NORME EUROPÉENNE</w:t>
      </w:r>
      <w:r w:rsidRPr="00F8212F">
        <w:rPr>
          <w:kern w:val="0"/>
        </w:rPr>
        <w:br/>
        <w:t>EUROPÄISCHE NORM</w:t>
      </w:r>
      <w:r w:rsidRPr="00F8212F">
        <w:rPr>
          <w:kern w:val="0"/>
        </w:rPr>
        <w:tab/>
      </w:r>
      <w:r w:rsidRPr="00F8212F">
        <w:rPr>
          <w:b w:val="0"/>
          <w:kern w:val="0"/>
          <w:sz w:val="20"/>
        </w:rPr>
        <w:t>Září 2002</w:t>
      </w:r>
    </w:p>
    <w:p w:rsidR="00CA3A7D" w:rsidRPr="00F8212F" w:rsidRDefault="00CA3A7D" w:rsidP="00CA3A7D">
      <w:pPr>
        <w:pStyle w:val="ICS"/>
        <w:rPr>
          <w:kern w:val="0"/>
        </w:rPr>
      </w:pPr>
      <w:r w:rsidRPr="00F8212F">
        <w:rPr>
          <w:kern w:val="0"/>
        </w:rPr>
        <w:t>ICS 97.120</w:t>
      </w:r>
      <w:r w:rsidRPr="00F8212F">
        <w:rPr>
          <w:kern w:val="0"/>
        </w:rPr>
        <w:tab/>
      </w:r>
    </w:p>
    <w:p w:rsidR="00CA3A7D" w:rsidRPr="00F8212F" w:rsidRDefault="00CA3A7D" w:rsidP="00CA3A7D">
      <w:pPr>
        <w:pStyle w:val="NzNorCZ"/>
      </w:pPr>
      <w:r w:rsidRPr="00F8212F">
        <w:t>Automatická elektrická řídicí zařízení pro domácnost a podobné účely</w:t>
      </w:r>
      <w:r>
        <w:t> –</w:t>
      </w:r>
      <w:r w:rsidRPr="00F8212F">
        <w:br/>
        <w:t>Část 2-10: Zvláštní požadavky na motorová spouštěcí relé</w:t>
      </w:r>
      <w:r w:rsidRPr="00F8212F">
        <w:br/>
        <w:t>(IEC 60730-2-10:1991/A</w:t>
      </w:r>
      <w:r>
        <w:t>MD</w:t>
      </w:r>
      <w:r w:rsidRPr="00F8212F">
        <w:t>2:2001)</w:t>
      </w:r>
    </w:p>
    <w:p w:rsidR="00CA3A7D" w:rsidRPr="00F8212F" w:rsidRDefault="00CA3A7D" w:rsidP="00CA3A7D">
      <w:pPr>
        <w:pStyle w:val="NzNorUS"/>
      </w:pPr>
      <w:r w:rsidRPr="00F8212F">
        <w:t>Automatic electrical controls for household and similar use</w:t>
      </w:r>
      <w:r>
        <w:t> –</w:t>
      </w:r>
      <w:r w:rsidRPr="00F8212F">
        <w:br/>
        <w:t xml:space="preserve">Part 2-10: Particular requirements for motor starting </w:t>
      </w:r>
      <w:proofErr w:type="gramStart"/>
      <w:r w:rsidRPr="00F8212F">
        <w:t>relays</w:t>
      </w:r>
      <w:proofErr w:type="gramEnd"/>
      <w:r w:rsidRPr="00F8212F">
        <w:br/>
        <w:t>(IEC 60730-2-10:1991/A</w:t>
      </w:r>
      <w:r>
        <w:t>MD</w:t>
      </w:r>
      <w:r w:rsidRPr="00F8212F">
        <w:t>2:2001)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CA3A7D" w:rsidRPr="00F8212F" w:rsidTr="0015765B">
        <w:trPr>
          <w:jc w:val="center"/>
        </w:trPr>
        <w:tc>
          <w:tcPr>
            <w:tcW w:w="4961" w:type="dxa"/>
          </w:tcPr>
          <w:p w:rsidR="00CA3A7D" w:rsidRPr="00F8212F" w:rsidRDefault="00CA3A7D" w:rsidP="0015765B">
            <w:pPr>
              <w:pStyle w:val="NzNorFraGer"/>
              <w:rPr>
                <w:lang w:val="fr-FR"/>
              </w:rPr>
            </w:pPr>
            <w:r w:rsidRPr="00F8212F">
              <w:rPr>
                <w:lang w:val="fr-FR"/>
              </w:rPr>
              <w:t>Dispositifs de commande électrique automatiques à usage domestique et analogue</w:t>
            </w:r>
            <w:r>
              <w:rPr>
                <w:lang w:val="fr-FR"/>
              </w:rPr>
              <w:t> –</w:t>
            </w:r>
            <w:r w:rsidRPr="00F8212F">
              <w:rPr>
                <w:lang w:val="fr-FR"/>
              </w:rPr>
              <w:br/>
              <w:t>Partie 2-10: Règles particulières pour les relais de démarrage de moteur</w:t>
            </w:r>
            <w:r w:rsidRPr="00F8212F">
              <w:rPr>
                <w:lang w:val="fr-FR"/>
              </w:rPr>
              <w:br/>
              <w:t>(</w:t>
            </w:r>
            <w:r>
              <w:rPr>
                <w:lang w:val="fr-FR"/>
              </w:rPr>
              <w:t>IEC</w:t>
            </w:r>
            <w:r w:rsidRPr="00F8212F">
              <w:rPr>
                <w:lang w:val="fr-FR"/>
              </w:rPr>
              <w:t> 60730-2-10:1991/A</w:t>
            </w:r>
            <w:r>
              <w:rPr>
                <w:lang w:val="fr-FR"/>
              </w:rPr>
              <w:t>MD</w:t>
            </w:r>
            <w:r w:rsidRPr="00F8212F">
              <w:rPr>
                <w:lang w:val="fr-FR"/>
              </w:rPr>
              <w:t>2:2001)</w:t>
            </w:r>
          </w:p>
        </w:tc>
        <w:tc>
          <w:tcPr>
            <w:tcW w:w="4961" w:type="dxa"/>
          </w:tcPr>
          <w:p w:rsidR="00CA3A7D" w:rsidRPr="00F8212F" w:rsidRDefault="00CA3A7D" w:rsidP="0015765B">
            <w:pPr>
              <w:pStyle w:val="NzNorFraGer"/>
              <w:rPr>
                <w:lang w:val="de-DE"/>
              </w:rPr>
            </w:pPr>
            <w:r w:rsidRPr="00F8212F">
              <w:rPr>
                <w:lang w:val="de-DE"/>
              </w:rPr>
              <w:t>Automatische elektrische Regel- und Steuergeräte für den Hausgebrauch und ähnliche Anwendungen</w:t>
            </w:r>
            <w:r>
              <w:rPr>
                <w:lang w:val="de-DE"/>
              </w:rPr>
              <w:t> –</w:t>
            </w:r>
            <w:r w:rsidRPr="00F8212F">
              <w:rPr>
                <w:lang w:val="de-DE"/>
              </w:rPr>
              <w:br/>
              <w:t>Teil 2-10: Besondere Anforderungen an Motorstartrelais</w:t>
            </w:r>
            <w:r w:rsidRPr="00F8212F">
              <w:rPr>
                <w:lang w:val="de-DE"/>
              </w:rPr>
              <w:br/>
              <w:t>(IEC 60730-2-10:1991/A</w:t>
            </w:r>
            <w:r>
              <w:rPr>
                <w:lang w:val="de-DE"/>
              </w:rPr>
              <w:t>MD</w:t>
            </w:r>
            <w:r w:rsidRPr="00F8212F">
              <w:rPr>
                <w:lang w:val="de-DE"/>
              </w:rPr>
              <w:t>2:2001)</w:t>
            </w:r>
          </w:p>
        </w:tc>
      </w:tr>
    </w:tbl>
    <w:p w:rsidR="00CA3A7D" w:rsidRPr="00F8212F" w:rsidRDefault="00CA3A7D" w:rsidP="00CA3A7D">
      <w:pPr>
        <w:pStyle w:val="Textnormy"/>
      </w:pPr>
      <w:r w:rsidRPr="00F8212F">
        <w:t xml:space="preserve">Tato změna A2 mění evropskou normu EN 60730-2-10:1995; </w:t>
      </w:r>
      <w:r>
        <w:t xml:space="preserve">byla schválena </w:t>
      </w:r>
      <w:r w:rsidRPr="00F8212F">
        <w:t xml:space="preserve">CENELEC </w:t>
      </w:r>
      <w:r>
        <w:t>dne</w:t>
      </w:r>
      <w:r w:rsidRPr="00F8212F">
        <w:t xml:space="preserve"> 2002-09-01. </w:t>
      </w:r>
      <w:r>
        <w:br/>
      </w:r>
      <w:r w:rsidRPr="00F8212F">
        <w:t xml:space="preserve">Členové CENELEC jsou povinni splnit </w:t>
      </w:r>
      <w:r>
        <w:t>v</w:t>
      </w:r>
      <w:r w:rsidRPr="00F8212F">
        <w:t xml:space="preserve">nitřní předpisy CEN/CENELEC, v nichž jsou stanoveny podmínky, </w:t>
      </w:r>
      <w:r w:rsidRPr="006B4E66">
        <w:t xml:space="preserve">za kterých se této </w:t>
      </w:r>
      <w:r>
        <w:t>změně</w:t>
      </w:r>
      <w:r w:rsidRPr="006B4E66">
        <w:t xml:space="preserve"> bez jakýchkoliv modifikací uděluje status národní normy</w:t>
      </w:r>
      <w:r>
        <w:t>.</w:t>
      </w:r>
      <w:r w:rsidRPr="00F8212F">
        <w:t xml:space="preserve"> </w:t>
      </w:r>
    </w:p>
    <w:p w:rsidR="00CA3A7D" w:rsidRDefault="00CA3A7D" w:rsidP="00CA3A7D">
      <w:pPr>
        <w:pStyle w:val="Textnormy"/>
      </w:pPr>
      <w:r>
        <w:t xml:space="preserve">Aktualizované seznamy a bibliografické citace týkající se těchto národních norem lze obdržet na vyžádání </w:t>
      </w:r>
      <w:r>
        <w:br/>
        <w:t>v Řídicím centru CEN-CENELEC nebo u kteréhokoliv člena CENELEC.</w:t>
      </w:r>
    </w:p>
    <w:p w:rsidR="00CA3A7D" w:rsidRPr="00F8212F" w:rsidRDefault="00CA3A7D" w:rsidP="00CA3A7D">
      <w:pPr>
        <w:pStyle w:val="Textnormy"/>
      </w:pPr>
      <w:r w:rsidRPr="006F295C">
        <w:rPr>
          <w:spacing w:val="-2"/>
        </w:rPr>
        <w:t>Tato změna existuje ve třech oficiálních verzích (anglické, francouzské, německé). Verze v každém jiném jazyce</w:t>
      </w:r>
      <w:r>
        <w:t xml:space="preserve"> přeložená členem CENELEC do jeho vlastního jazyka, za kterou zodpovídá a kterou notifikuje Řídicímu centru CEN-CENELEC, má stejný status jako oficiální verze.</w:t>
      </w:r>
    </w:p>
    <w:p w:rsidR="00CA3A7D" w:rsidRDefault="00CA3A7D" w:rsidP="00CA3A7D">
      <w:pPr>
        <w:pStyle w:val="Textnormy"/>
      </w:pPr>
      <w:r w:rsidRPr="003144EF">
        <w:rPr>
          <w:spacing w:val="-4"/>
        </w:rPr>
        <w:t xml:space="preserve">Členy CENELEC jsou národní elektrotechnické komitéty Belgie, Bulharska, </w:t>
      </w:r>
      <w:r w:rsidRPr="008A7D3C">
        <w:t>České republiky, Dánska, Estonska,</w:t>
      </w:r>
      <w:r>
        <w:br/>
      </w:r>
      <w:r w:rsidRPr="008A7D3C">
        <w:t>Finska, Francie, Chorvatska, Irska, Islandu, Itálie, Kypru, Litvy, Lotyšska, Lucemburska, Maďarska, Malty,</w:t>
      </w:r>
      <w:r>
        <w:br/>
      </w:r>
      <w:r w:rsidRPr="008A7D3C">
        <w:t>Německa, Nizozemska, Norska, Polska, Portugalska, Rakouska,</w:t>
      </w:r>
      <w:r>
        <w:t xml:space="preserve"> Republiky Severní Makedonie,</w:t>
      </w:r>
      <w:r w:rsidRPr="008A7D3C">
        <w:t xml:space="preserve"> Rumunska, Řecka, Slovenska, Slovinska, Spojeného království, </w:t>
      </w:r>
      <w:r>
        <w:t xml:space="preserve">Srbska, </w:t>
      </w:r>
      <w:r w:rsidRPr="008A7D3C">
        <w:t>Španělska, Švédska</w:t>
      </w:r>
      <w:r>
        <w:t>,</w:t>
      </w:r>
      <w:r w:rsidRPr="008A7D3C">
        <w:t> Švýcarska</w:t>
      </w:r>
      <w:r>
        <w:t xml:space="preserve"> a Turecka</w:t>
      </w:r>
      <w:r w:rsidRPr="008A7D3C">
        <w:t>.</w:t>
      </w:r>
    </w:p>
    <w:p w:rsidR="00CA3A7D" w:rsidRPr="003A5C1C" w:rsidRDefault="00CA3A7D" w:rsidP="00CA3A7D">
      <w:pPr>
        <w:pStyle w:val="Textnormy"/>
        <w:framePr w:hSpace="142" w:wrap="around" w:hAnchor="page" w:x="1022" w:yAlign="bottom"/>
        <w:spacing w:before="60" w:after="0"/>
        <w:jc w:val="center"/>
        <w:rPr>
          <w:sz w:val="24"/>
        </w:rPr>
      </w:pPr>
      <w:r>
        <w:rPr>
          <w:sz w:val="24"/>
        </w:rPr>
        <w:t xml:space="preserve"> </w:t>
      </w:r>
      <w:r w:rsidRPr="00666BE6">
        <w:rPr>
          <w:b/>
          <w:noProof/>
          <w:sz w:val="24"/>
        </w:rPr>
        <w:drawing>
          <wp:inline distT="0" distB="0" distL="0" distR="0" wp14:anchorId="38BB23F5" wp14:editId="7E5F5135">
            <wp:extent cx="1226820" cy="5867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r="2763" b="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C1C">
        <w:rPr>
          <w:sz w:val="24"/>
        </w:rPr>
        <w:t xml:space="preserve"> </w:t>
      </w:r>
    </w:p>
    <w:p w:rsidR="00CA3A7D" w:rsidRDefault="00CA3A7D" w:rsidP="00CA3A7D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>
        <w:rPr>
          <w:b/>
        </w:rPr>
        <w:t>Evropský výbor pro normalizaci v elektrotechnice</w:t>
      </w:r>
    </w:p>
    <w:p w:rsidR="00CA3A7D" w:rsidRDefault="00CA3A7D" w:rsidP="00CA3A7D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European Committee for Electrotechnical Standardization</w:t>
      </w:r>
    </w:p>
    <w:p w:rsidR="00CA3A7D" w:rsidRDefault="00CA3A7D" w:rsidP="00CA3A7D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Comité Européen de Normalisation Electrotechnique</w:t>
      </w:r>
    </w:p>
    <w:p w:rsidR="00CA3A7D" w:rsidRDefault="00CA3A7D" w:rsidP="00CA3A7D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Europäisches Komitee für Elektrotechnische Normung</w:t>
      </w:r>
    </w:p>
    <w:p w:rsidR="00CA3A7D" w:rsidRDefault="00CA3A7D" w:rsidP="00CA3A7D">
      <w:pPr>
        <w:pStyle w:val="Textnormy"/>
        <w:framePr w:hSpace="142" w:wrap="around" w:hAnchor="page" w:x="1022" w:yAlign="bottom"/>
        <w:tabs>
          <w:tab w:val="left" w:pos="6237"/>
        </w:tabs>
        <w:spacing w:before="120" w:after="240"/>
        <w:jc w:val="center"/>
        <w:rPr>
          <w:b/>
        </w:rPr>
      </w:pPr>
      <w:r>
        <w:rPr>
          <w:b/>
        </w:rPr>
        <w:t>Řídicí centrum CEN-CENELEC: Rue de la Science 23, B-1040 Brusel</w:t>
      </w:r>
    </w:p>
    <w:p w:rsidR="00CA3A7D" w:rsidRDefault="00CA3A7D" w:rsidP="00CA3A7D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0"/>
        <w:ind w:left="1843" w:hanging="1843"/>
        <w:jc w:val="left"/>
      </w:pPr>
      <w:r>
        <w:sym w:font="Times New Roman" w:char="00A9"/>
      </w:r>
      <w:r>
        <w:t> 2002 CENELEC</w:t>
      </w:r>
      <w:r>
        <w:tab/>
        <w:t xml:space="preserve">Veškerá práva pro využití v jakékoli formě a jakýmikoli prostředky </w:t>
      </w:r>
      <w:r>
        <w:br/>
        <w:t>jsou celosvětově vyhrazena členům CENELEC.</w:t>
      </w:r>
      <w:r>
        <w:br/>
      </w:r>
      <w:r>
        <w:tab/>
        <w:t>Ref. č. EN 60730-2-10:1995/A2:2002 E</w:t>
      </w:r>
    </w:p>
    <w:p w:rsidR="00CA3A7D" w:rsidRPr="00F8212F" w:rsidRDefault="00CA3A7D" w:rsidP="00CA3A7D">
      <w:pPr>
        <w:pStyle w:val="Textnormy"/>
      </w:pPr>
    </w:p>
    <w:p w:rsidR="00CA3A7D" w:rsidRPr="00F8212F" w:rsidRDefault="00CA3A7D" w:rsidP="00CA3A7D">
      <w:pPr>
        <w:pStyle w:val="Nadpiskapitoly"/>
        <w:pageBreakBefore/>
        <w:spacing w:before="0"/>
      </w:pPr>
      <w:r>
        <w:lastRenderedPageBreak/>
        <w:t>Evropská p</w:t>
      </w:r>
      <w:r w:rsidRPr="00F8212F">
        <w:t>ředmluva</w:t>
      </w:r>
    </w:p>
    <w:p w:rsidR="00CA3A7D" w:rsidRDefault="00CA3A7D" w:rsidP="00CA3A7D">
      <w:pPr>
        <w:pStyle w:val="Textnormy"/>
      </w:pPr>
      <w:r w:rsidRPr="007E1FDB">
        <w:t xml:space="preserve">Text </w:t>
      </w:r>
      <w:r>
        <w:t xml:space="preserve">dokumentu </w:t>
      </w:r>
      <w:r w:rsidRPr="00F8212F">
        <w:t>72/474/FDIS</w:t>
      </w:r>
      <w:r>
        <w:t>, budoucí IEC 60730-2-10/AMD2</w:t>
      </w:r>
      <w:r w:rsidRPr="007E1FDB">
        <w:t xml:space="preserve">, který vypracovala technická komise IEC/TC 72 </w:t>
      </w:r>
      <w:r w:rsidRPr="007E1FDB">
        <w:br/>
      </w:r>
      <w:r w:rsidRPr="007E1FDB">
        <w:rPr>
          <w:i/>
        </w:rPr>
        <w:t>Automatická řídicí zařízení pro domácnost</w:t>
      </w:r>
      <w:r>
        <w:rPr>
          <w:i/>
        </w:rPr>
        <w:t>,</w:t>
      </w:r>
      <w:r>
        <w:t xml:space="preserve"> </w:t>
      </w:r>
      <w:r w:rsidRPr="007E1FDB">
        <w:t>byl předložen k </w:t>
      </w:r>
      <w:r>
        <w:t>paralelnímu</w:t>
      </w:r>
      <w:r w:rsidRPr="007E1FDB">
        <w:t xml:space="preserve"> hlasování </w:t>
      </w:r>
      <w:r>
        <w:t xml:space="preserve">IEC-CENELEC </w:t>
      </w:r>
      <w:r w:rsidRPr="007E1FDB">
        <w:t xml:space="preserve">a byl schválen </w:t>
      </w:r>
      <w:r>
        <w:t xml:space="preserve">CENELEC </w:t>
      </w:r>
      <w:r w:rsidRPr="007E1FDB">
        <w:t>jako EN 60730-2-10:1995/A2:2002.</w:t>
      </w:r>
    </w:p>
    <w:p w:rsidR="00CA3A7D" w:rsidRPr="00F8212F" w:rsidRDefault="00CA3A7D" w:rsidP="00CA3A7D">
      <w:pPr>
        <w:pStyle w:val="Textnormy"/>
        <w:suppressAutoHyphens/>
        <w:spacing w:before="240"/>
      </w:pPr>
      <w:r>
        <w:t>Jsou</w:t>
      </w:r>
      <w:r w:rsidRPr="00F8212F">
        <w:t xml:space="preserve"> stanovena tato data:</w:t>
      </w:r>
    </w:p>
    <w:tbl>
      <w:tblPr>
        <w:tblW w:w="9923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7465"/>
        <w:gridCol w:w="861"/>
        <w:gridCol w:w="1597"/>
      </w:tblGrid>
      <w:tr w:rsidR="00CA3A7D" w:rsidRPr="00F8212F" w:rsidTr="0015765B">
        <w:tc>
          <w:tcPr>
            <w:tcW w:w="7465" w:type="dxa"/>
          </w:tcPr>
          <w:p w:rsidR="00CA3A7D" w:rsidRPr="00F8212F" w:rsidRDefault="00CA3A7D" w:rsidP="00A223E1">
            <w:pPr>
              <w:pStyle w:val="Seznamvnorm"/>
              <w:jc w:val="left"/>
            </w:pPr>
            <w:r w:rsidRPr="00F8212F">
              <w:t xml:space="preserve">nejzazší datum zavedení </w:t>
            </w:r>
            <w:r>
              <w:t>dokumentu</w:t>
            </w:r>
            <w:r w:rsidRPr="00F8212F">
              <w:t xml:space="preserve"> na národní úrovni</w:t>
            </w:r>
            <w:r w:rsidRPr="00F8212F">
              <w:br/>
              <w:t>vydáním identické národní normy nebo vydáním</w:t>
            </w:r>
            <w:r w:rsidRPr="00F8212F">
              <w:br/>
              <w:t>oznámení o schválení k přímému používání</w:t>
            </w:r>
            <w:r w:rsidRPr="00F8212F">
              <w:br/>
              <w:t>jako normy národní</w:t>
            </w:r>
          </w:p>
        </w:tc>
        <w:tc>
          <w:tcPr>
            <w:tcW w:w="861" w:type="dxa"/>
            <w:vAlign w:val="bottom"/>
          </w:tcPr>
          <w:p w:rsidR="00CA3A7D" w:rsidRPr="00F8212F" w:rsidRDefault="00CA3A7D" w:rsidP="0015765B">
            <w:pPr>
              <w:pStyle w:val="Textnormy"/>
              <w:jc w:val="left"/>
            </w:pPr>
            <w:r w:rsidRPr="00F8212F">
              <w:t>(dop)</w:t>
            </w:r>
          </w:p>
        </w:tc>
        <w:tc>
          <w:tcPr>
            <w:tcW w:w="1597" w:type="dxa"/>
            <w:vAlign w:val="bottom"/>
          </w:tcPr>
          <w:p w:rsidR="00CA3A7D" w:rsidRPr="00F8212F" w:rsidRDefault="00CA3A7D" w:rsidP="0015765B">
            <w:pPr>
              <w:pStyle w:val="Textnormy"/>
              <w:jc w:val="left"/>
            </w:pPr>
            <w:r w:rsidRPr="00F8212F">
              <w:t>2003-09-01</w:t>
            </w:r>
          </w:p>
        </w:tc>
      </w:tr>
      <w:tr w:rsidR="00CA3A7D" w:rsidRPr="00F8212F" w:rsidTr="0015765B">
        <w:tc>
          <w:tcPr>
            <w:tcW w:w="7465" w:type="dxa"/>
          </w:tcPr>
          <w:p w:rsidR="00CA3A7D" w:rsidRPr="00F8212F" w:rsidRDefault="00CA3A7D" w:rsidP="00A223E1">
            <w:pPr>
              <w:pStyle w:val="Seznamvnorm"/>
              <w:jc w:val="left"/>
            </w:pPr>
            <w:r w:rsidRPr="00F8212F">
              <w:t>nejzazší datum zrušení národních norem,</w:t>
            </w:r>
            <w:r w:rsidRPr="00F8212F">
              <w:br/>
              <w:t xml:space="preserve">které jsou </w:t>
            </w:r>
            <w:r>
              <w:t>s dokumentem</w:t>
            </w:r>
            <w:r w:rsidRPr="00F8212F">
              <w:t xml:space="preserve"> v rozporu</w:t>
            </w:r>
          </w:p>
        </w:tc>
        <w:tc>
          <w:tcPr>
            <w:tcW w:w="861" w:type="dxa"/>
            <w:vAlign w:val="bottom"/>
          </w:tcPr>
          <w:p w:rsidR="00CA3A7D" w:rsidRPr="00F8212F" w:rsidRDefault="00CA3A7D" w:rsidP="0015765B">
            <w:pPr>
              <w:pStyle w:val="Textnormy"/>
              <w:jc w:val="left"/>
            </w:pPr>
            <w:r w:rsidRPr="00F8212F">
              <w:t>(dow)</w:t>
            </w:r>
          </w:p>
        </w:tc>
        <w:tc>
          <w:tcPr>
            <w:tcW w:w="1597" w:type="dxa"/>
            <w:vAlign w:val="bottom"/>
          </w:tcPr>
          <w:p w:rsidR="00CA3A7D" w:rsidRPr="00F8212F" w:rsidRDefault="00CA3A7D" w:rsidP="0015765B">
            <w:pPr>
              <w:pStyle w:val="Textnormy"/>
              <w:jc w:val="left"/>
            </w:pPr>
            <w:r w:rsidRPr="00F8212F">
              <w:t>2009-09-01</w:t>
            </w:r>
          </w:p>
        </w:tc>
      </w:tr>
    </w:tbl>
    <w:p w:rsidR="00CA3A7D" w:rsidRDefault="00CA3A7D" w:rsidP="00CA3A7D">
      <w:pPr>
        <w:pStyle w:val="Textnormy"/>
        <w:spacing w:before="120"/>
      </w:pPr>
      <w:r w:rsidRPr="00386FF5">
        <w:t xml:space="preserve">Upozorňuje se na možnost, že některé prvky tohoto dokumentu mohou být předmětem patentových práv. </w:t>
      </w:r>
      <w:r>
        <w:t xml:space="preserve">CENELEC </w:t>
      </w:r>
      <w:r w:rsidRPr="00386FF5">
        <w:t xml:space="preserve">nelze činit odpovědným za identifikaci </w:t>
      </w:r>
      <w:r>
        <w:t>jakéhokoliv</w:t>
      </w:r>
      <w:r w:rsidRPr="00386FF5">
        <w:t xml:space="preserve"> nebo všech patentových práv</w:t>
      </w:r>
      <w:r>
        <w:t>.</w:t>
      </w:r>
    </w:p>
    <w:p w:rsidR="00CA3A7D" w:rsidRPr="001B5F92" w:rsidRDefault="00CA3A7D" w:rsidP="00CA3A7D">
      <w:pPr>
        <w:pStyle w:val="Textnormy"/>
      </w:pPr>
      <w:r w:rsidRPr="00CA51DA">
        <w:t>Jakákoli zpětná vazba a otázky týkající se tohoto dokumentu mají být adresovány národnímu normalizačnímu orgánu uživatele. Úplný seznam těchto orgánů lze nalézt na webových stránkách CENELEC.</w:t>
      </w:r>
    </w:p>
    <w:p w:rsidR="00CA3A7D" w:rsidRPr="00F8212F" w:rsidRDefault="00CA3A7D" w:rsidP="00CA3A7D">
      <w:pPr>
        <w:pStyle w:val="Nadpislnku"/>
      </w:pPr>
      <w:r w:rsidRPr="00F8212F">
        <w:t>Oznámení o schválení</w:t>
      </w:r>
    </w:p>
    <w:p w:rsidR="00CA3A7D" w:rsidRPr="00585681" w:rsidRDefault="00CA3A7D" w:rsidP="00CA3A7D">
      <w:pPr>
        <w:pStyle w:val="Textnormy"/>
      </w:pPr>
      <w:r w:rsidRPr="00F8212F">
        <w:t>Text mezinárodní norm</w:t>
      </w:r>
      <w:r>
        <w:t>y</w:t>
      </w:r>
      <w:r w:rsidRPr="00F8212F">
        <w:t xml:space="preserve"> IEC 60730-2-10:1991</w:t>
      </w:r>
      <w:r>
        <w:t>/AMD2:2001</w:t>
      </w:r>
      <w:r w:rsidRPr="00F8212F">
        <w:t xml:space="preserve"> byl schválen CENELEC jako evropsk</w:t>
      </w:r>
      <w:r>
        <w:t>á</w:t>
      </w:r>
      <w:r w:rsidRPr="00F8212F">
        <w:t xml:space="preserve"> norm</w:t>
      </w:r>
      <w:r>
        <w:t>a</w:t>
      </w:r>
      <w:r w:rsidRPr="00F8212F">
        <w:t xml:space="preserve"> </w:t>
      </w:r>
      <w:r>
        <w:rPr>
          <w:spacing w:val="-4"/>
        </w:rPr>
        <w:t xml:space="preserve">bez </w:t>
      </w:r>
      <w:r w:rsidR="00E328E8">
        <w:rPr>
          <w:spacing w:val="-4"/>
        </w:rPr>
        <w:br/>
      </w:r>
      <w:r>
        <w:rPr>
          <w:spacing w:val="-4"/>
        </w:rPr>
        <w:t xml:space="preserve">jakýchkoliv modifikací. </w:t>
      </w:r>
    </w:p>
    <w:p w:rsidR="00CA3A7D" w:rsidRDefault="00CA3A7D" w:rsidP="00E328E8">
      <w:pPr>
        <w:pStyle w:val="Textnormy"/>
      </w:pPr>
      <w:r>
        <w:br w:type="page"/>
      </w:r>
    </w:p>
    <w:p w:rsidR="00CA3A7D" w:rsidRDefault="00CA3A7D" w:rsidP="00CA3A7D">
      <w:pPr>
        <w:pStyle w:val="Textnormy"/>
        <w:tabs>
          <w:tab w:val="left" w:pos="3402"/>
          <w:tab w:val="left" w:pos="4962"/>
          <w:tab w:val="left" w:pos="8505"/>
        </w:tabs>
        <w:rPr>
          <w:i/>
        </w:rPr>
      </w:pPr>
      <w:r w:rsidRPr="00456CC4">
        <w:rPr>
          <w:i/>
          <w:highlight w:val="yellow"/>
        </w:rPr>
        <w:lastRenderedPageBreak/>
        <w:t>pokračuje další text</w:t>
      </w:r>
    </w:p>
    <w:p w:rsidR="00CA3A7D" w:rsidRDefault="00CA3A7D" w:rsidP="00E328E8">
      <w:pPr>
        <w:pStyle w:val="Textnormy"/>
      </w:pPr>
      <w:r>
        <w:br w:type="page"/>
      </w:r>
    </w:p>
    <w:p w:rsidR="00CA3A7D" w:rsidRPr="00AC0FA5" w:rsidRDefault="00CA3A7D" w:rsidP="00CA3A7D">
      <w:pPr>
        <w:pStyle w:val="Nadpis1"/>
        <w:pageBreakBefore/>
        <w:spacing w:before="0"/>
        <w:rPr>
          <w:i/>
          <w:sz w:val="20"/>
        </w:rPr>
      </w:pPr>
      <w:bookmarkStart w:id="1" w:name="_Toc365968767"/>
      <w:bookmarkStart w:id="2" w:name="_Toc367082932"/>
      <w:bookmarkStart w:id="3" w:name="_Toc372429547"/>
      <w:bookmarkStart w:id="4" w:name="_Toc375302781"/>
      <w:bookmarkStart w:id="5" w:name="_Toc379098938"/>
      <w:bookmarkStart w:id="6" w:name="_Toc380735110"/>
      <w:bookmarkStart w:id="7" w:name="_Toc380735210"/>
      <w:bookmarkStart w:id="8" w:name="_Toc380825395"/>
      <w:bookmarkStart w:id="9" w:name="_Toc380827284"/>
      <w:bookmarkStart w:id="10" w:name="_Toc380886230"/>
      <w:bookmarkStart w:id="11" w:name="_Toc380886268"/>
      <w:bookmarkStart w:id="12" w:name="_Toc380886378"/>
      <w:bookmarkStart w:id="13" w:name="_Toc380886475"/>
      <w:bookmarkStart w:id="14" w:name="_Toc380974473"/>
      <w:bookmarkStart w:id="15" w:name="_Toc459535873"/>
      <w:bookmarkStart w:id="16" w:name="_Toc486739060"/>
      <w:bookmarkStart w:id="17" w:name="_Toc486740682"/>
      <w:bookmarkStart w:id="18" w:name="_Toc4487166"/>
      <w:bookmarkStart w:id="19" w:name="_Toc414351341"/>
      <w:bookmarkStart w:id="20" w:name="_Toc442856564"/>
      <w:bookmarkStart w:id="21" w:name="_Toc442858523"/>
      <w:bookmarkStart w:id="22" w:name="_Toc442858986"/>
      <w:bookmarkStart w:id="23" w:name="_Toc502299214"/>
      <w:bookmarkStart w:id="24" w:name="_Toc502299250"/>
      <w:r w:rsidRPr="00AC0FA5">
        <w:lastRenderedPageBreak/>
        <w:t xml:space="preserve">Příloha ZA </w:t>
      </w:r>
      <w:r w:rsidRPr="00AC0FA5">
        <w:rPr>
          <w:b w:val="0"/>
        </w:rPr>
        <w:t>(normativní)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A3A7D" w:rsidRPr="00AC0FA5" w:rsidRDefault="00CA3A7D" w:rsidP="00CA3A7D">
      <w:pPr>
        <w:pStyle w:val="Nadpis1"/>
      </w:pPr>
      <w:bookmarkStart w:id="25" w:name="_Toc362784954"/>
      <w:bookmarkStart w:id="26" w:name="_Toc362827300"/>
      <w:bookmarkStart w:id="27" w:name="_Toc363351499"/>
      <w:bookmarkStart w:id="28" w:name="_Toc363885952"/>
      <w:bookmarkStart w:id="29" w:name="_Toc366917135"/>
      <w:bookmarkStart w:id="30" w:name="_Toc367082933"/>
      <w:bookmarkStart w:id="31" w:name="_Toc372429548"/>
      <w:bookmarkStart w:id="32" w:name="_Toc375302782"/>
      <w:bookmarkStart w:id="33" w:name="_Toc379098939"/>
      <w:bookmarkStart w:id="34" w:name="_Toc380735111"/>
      <w:bookmarkStart w:id="35" w:name="_Toc380735211"/>
      <w:bookmarkStart w:id="36" w:name="_Toc380825396"/>
      <w:bookmarkStart w:id="37" w:name="_Toc380827285"/>
      <w:bookmarkStart w:id="38" w:name="_Toc380886231"/>
      <w:bookmarkStart w:id="39" w:name="_Toc380886269"/>
      <w:bookmarkStart w:id="40" w:name="_Toc380886379"/>
      <w:bookmarkStart w:id="41" w:name="_Toc380886476"/>
      <w:bookmarkStart w:id="42" w:name="_Toc486740683"/>
      <w:bookmarkStart w:id="43" w:name="_Toc4487167"/>
      <w:r w:rsidRPr="00AC0FA5">
        <w:t>Normativní odkazy na mezinárodní publikace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AC0FA5">
        <w:t xml:space="preserve"> a</w:t>
      </w:r>
      <w:r>
        <w:t> </w:t>
      </w:r>
      <w:r w:rsidRPr="00AC0FA5">
        <w:t>jim odpovídající evropské publikace</w:t>
      </w:r>
    </w:p>
    <w:p w:rsidR="00CA3A7D" w:rsidRPr="00DC5A86" w:rsidRDefault="00CA3A7D" w:rsidP="00CA3A7D">
      <w:pPr>
        <w:pStyle w:val="Textnormy"/>
        <w:rPr>
          <w:rFonts w:cs="Arial"/>
        </w:rPr>
      </w:pPr>
      <w:r w:rsidRPr="00DC5A86">
        <w:rPr>
          <w:rFonts w:cs="Arial"/>
        </w:rPr>
        <w:t>Na dále uvedené dokumenty se v</w:t>
      </w:r>
      <w:r>
        <w:rPr>
          <w:rFonts w:cs="Arial"/>
        </w:rPr>
        <w:t> </w:t>
      </w:r>
      <w:r w:rsidRPr="00DC5A86">
        <w:rPr>
          <w:rFonts w:cs="Arial"/>
        </w:rPr>
        <w:t>textu odkazuje takovým způsobem, že celý jejich obsah nebo jeho část představují požadavky tohoto dokumentu. U</w:t>
      </w:r>
      <w:r>
        <w:rPr>
          <w:rFonts w:cs="Arial"/>
        </w:rPr>
        <w:t> </w:t>
      </w:r>
      <w:r w:rsidRPr="00DC5A86">
        <w:rPr>
          <w:rFonts w:cs="Arial"/>
        </w:rPr>
        <w:t>datovaných citovaných dokumentů se používají pouze datované citované dokumenty. U</w:t>
      </w:r>
      <w:r>
        <w:rPr>
          <w:rFonts w:cs="Arial"/>
        </w:rPr>
        <w:t> </w:t>
      </w:r>
      <w:r w:rsidRPr="00DC5A86">
        <w:rPr>
          <w:rFonts w:cs="Arial"/>
        </w:rPr>
        <w:t>nedatovaných citovaných dokumentů se používá pouze nejnovější vydání citovaného dokumentu (včetně všech změn).</w:t>
      </w:r>
    </w:p>
    <w:p w:rsidR="00CA3A7D" w:rsidRPr="00AC0FA5" w:rsidRDefault="00CA3A7D" w:rsidP="00CA3A7D">
      <w:pPr>
        <w:pStyle w:val="Poznmka"/>
        <w:spacing w:after="120"/>
        <w:rPr>
          <w:snapToGrid w:val="0"/>
        </w:rPr>
      </w:pPr>
      <w:r w:rsidRPr="00AC0FA5">
        <w:t>POZNÁMKA</w:t>
      </w:r>
      <w:r>
        <w:t> 1</w:t>
      </w:r>
      <w:r>
        <w:t> </w:t>
      </w:r>
      <w:r w:rsidRPr="00AC0FA5">
        <w:rPr>
          <w:snapToGrid w:val="0"/>
        </w:rPr>
        <w:t>Jestliže byla mezinárodní publikace upravena společnou modifikací, vyznačenou pomocí (mod), používá se příslušná EN/HD.</w:t>
      </w:r>
    </w:p>
    <w:p w:rsidR="00CA3A7D" w:rsidRDefault="00CA3A7D" w:rsidP="00E328E8">
      <w:pPr>
        <w:pStyle w:val="Poznmka"/>
        <w:spacing w:before="120"/>
        <w:rPr>
          <w:rStyle w:val="Hypertextovodkaz"/>
          <w:rFonts w:cs="Arial"/>
          <w:szCs w:val="18"/>
        </w:rPr>
      </w:pPr>
      <w:r>
        <w:t>POZNÁMKA 2</w:t>
      </w:r>
      <w:r>
        <w:t> </w:t>
      </w:r>
      <w:r w:rsidRPr="00AC0FA5">
        <w:t>Aktuální informace o</w:t>
      </w:r>
      <w:r>
        <w:t> </w:t>
      </w:r>
      <w:r w:rsidRPr="00AC0FA5">
        <w:t>nejnovějších verzích evropských norem uvedených v</w:t>
      </w:r>
      <w:r>
        <w:t> </w:t>
      </w:r>
      <w:r w:rsidRPr="00AC0FA5">
        <w:t>této příloze jsou k</w:t>
      </w:r>
      <w:r>
        <w:t> </w:t>
      </w:r>
      <w:r w:rsidRPr="00AC0FA5">
        <w:t xml:space="preserve">dispozici na: </w:t>
      </w:r>
      <w:hyperlink r:id="rId15" w:history="1">
        <w:r w:rsidRPr="00AC0FA5">
          <w:rPr>
            <w:rStyle w:val="Hypertextovodkaz"/>
            <w:rFonts w:cs="Arial"/>
            <w:szCs w:val="18"/>
          </w:rPr>
          <w:t>www.cenelec.eu</w:t>
        </w:r>
      </w:hyperlink>
      <w:r w:rsidRPr="00F21A7C">
        <w:rPr>
          <w:rStyle w:val="Hypertextovodkaz"/>
          <w:rFonts w:cs="Arial"/>
          <w:szCs w:val="18"/>
        </w:rPr>
        <w:t>.</w:t>
      </w:r>
    </w:p>
    <w:p w:rsidR="00CA3A7D" w:rsidRPr="00B71150" w:rsidRDefault="00CA3A7D" w:rsidP="00CA3A7D">
      <w:pPr>
        <w:pStyle w:val="Textnormy"/>
      </w:pPr>
      <w:r>
        <w:t>Použije se příloha ZA z EN 60730-2-10:1995 s touto změnou:</w:t>
      </w:r>
    </w:p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07"/>
        <w:gridCol w:w="4706"/>
        <w:gridCol w:w="1701"/>
        <w:gridCol w:w="907"/>
      </w:tblGrid>
      <w:tr w:rsidR="00CA3A7D" w:rsidRPr="00AC0FA5" w:rsidTr="0015765B">
        <w:trPr>
          <w:jc w:val="center"/>
        </w:trPr>
        <w:tc>
          <w:tcPr>
            <w:tcW w:w="1701" w:type="dxa"/>
          </w:tcPr>
          <w:p w:rsidR="00CA3A7D" w:rsidRPr="00AC0FA5" w:rsidRDefault="00CA3A7D" w:rsidP="0015765B">
            <w:pPr>
              <w:pStyle w:val="Textnormy"/>
              <w:spacing w:before="120"/>
              <w:ind w:right="246"/>
              <w:jc w:val="left"/>
            </w:pPr>
            <w:r w:rsidRPr="00AC0FA5">
              <w:rPr>
                <w:u w:val="single"/>
              </w:rPr>
              <w:t>Publikace</w:t>
            </w:r>
          </w:p>
        </w:tc>
        <w:tc>
          <w:tcPr>
            <w:tcW w:w="907" w:type="dxa"/>
          </w:tcPr>
          <w:p w:rsidR="00CA3A7D" w:rsidRPr="00AC0FA5" w:rsidRDefault="00CA3A7D" w:rsidP="0015765B">
            <w:pPr>
              <w:pStyle w:val="Textnormy"/>
              <w:spacing w:before="120"/>
              <w:ind w:right="246"/>
              <w:jc w:val="left"/>
            </w:pPr>
            <w:r w:rsidRPr="00AC0FA5">
              <w:rPr>
                <w:u w:val="single"/>
              </w:rPr>
              <w:t>Rok</w:t>
            </w:r>
          </w:p>
        </w:tc>
        <w:tc>
          <w:tcPr>
            <w:tcW w:w="4706" w:type="dxa"/>
          </w:tcPr>
          <w:p w:rsidR="00CA3A7D" w:rsidRPr="00AC0FA5" w:rsidRDefault="00CA3A7D" w:rsidP="0015765B">
            <w:pPr>
              <w:pStyle w:val="Textnormy"/>
              <w:spacing w:before="120"/>
              <w:ind w:right="246"/>
              <w:jc w:val="left"/>
            </w:pPr>
            <w:r w:rsidRPr="00AC0FA5">
              <w:rPr>
                <w:u w:val="single"/>
              </w:rPr>
              <w:t>Název</w:t>
            </w:r>
          </w:p>
        </w:tc>
        <w:tc>
          <w:tcPr>
            <w:tcW w:w="1701" w:type="dxa"/>
          </w:tcPr>
          <w:p w:rsidR="00CA3A7D" w:rsidRPr="00AC0FA5" w:rsidRDefault="00CA3A7D" w:rsidP="0015765B">
            <w:pPr>
              <w:pStyle w:val="Textnormy"/>
              <w:spacing w:before="120"/>
              <w:ind w:right="246"/>
              <w:jc w:val="left"/>
            </w:pPr>
            <w:r w:rsidRPr="00AC0FA5">
              <w:rPr>
                <w:u w:val="single"/>
              </w:rPr>
              <w:t>EN/HD</w:t>
            </w:r>
          </w:p>
        </w:tc>
        <w:tc>
          <w:tcPr>
            <w:tcW w:w="907" w:type="dxa"/>
          </w:tcPr>
          <w:p w:rsidR="00CA3A7D" w:rsidRPr="00AC0FA5" w:rsidRDefault="00CA3A7D" w:rsidP="0015765B">
            <w:pPr>
              <w:pStyle w:val="Textnormy"/>
              <w:spacing w:before="120"/>
              <w:jc w:val="left"/>
              <w:rPr>
                <w:u w:val="single"/>
              </w:rPr>
            </w:pPr>
            <w:r w:rsidRPr="00AC0FA5">
              <w:rPr>
                <w:u w:val="single"/>
              </w:rPr>
              <w:t>Rok</w:t>
            </w:r>
          </w:p>
        </w:tc>
      </w:tr>
      <w:tr w:rsidR="00CA3A7D" w:rsidRPr="00AC0FA5" w:rsidTr="0015765B">
        <w:trPr>
          <w:jc w:val="center"/>
        </w:trPr>
        <w:tc>
          <w:tcPr>
            <w:tcW w:w="1701" w:type="dxa"/>
          </w:tcPr>
          <w:p w:rsidR="00CA3A7D" w:rsidRPr="00670C64" w:rsidRDefault="00CA3A7D" w:rsidP="0015765B">
            <w:pPr>
              <w:pStyle w:val="Textnormy"/>
              <w:ind w:right="246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Doplňuje se:</w:t>
            </w:r>
          </w:p>
        </w:tc>
        <w:tc>
          <w:tcPr>
            <w:tcW w:w="907" w:type="dxa"/>
          </w:tcPr>
          <w:p w:rsidR="00CA3A7D" w:rsidRPr="00AC0FA5" w:rsidRDefault="00CA3A7D" w:rsidP="0015765B">
            <w:pPr>
              <w:pStyle w:val="Textnormy"/>
              <w:ind w:right="246"/>
              <w:jc w:val="left"/>
            </w:pPr>
          </w:p>
        </w:tc>
        <w:tc>
          <w:tcPr>
            <w:tcW w:w="4706" w:type="dxa"/>
          </w:tcPr>
          <w:p w:rsidR="00CA3A7D" w:rsidRPr="00AC0FA5" w:rsidRDefault="00CA3A7D" w:rsidP="0015765B">
            <w:pPr>
              <w:pStyle w:val="Textnormy"/>
              <w:ind w:right="246"/>
              <w:jc w:val="left"/>
            </w:pPr>
          </w:p>
        </w:tc>
        <w:tc>
          <w:tcPr>
            <w:tcW w:w="1701" w:type="dxa"/>
          </w:tcPr>
          <w:p w:rsidR="00CA3A7D" w:rsidRPr="00AC0FA5" w:rsidRDefault="00CA3A7D" w:rsidP="0015765B">
            <w:pPr>
              <w:pStyle w:val="Textnormy"/>
              <w:ind w:right="246"/>
              <w:jc w:val="left"/>
            </w:pPr>
          </w:p>
        </w:tc>
        <w:tc>
          <w:tcPr>
            <w:tcW w:w="907" w:type="dxa"/>
          </w:tcPr>
          <w:p w:rsidR="00CA3A7D" w:rsidRPr="00AC0FA5" w:rsidRDefault="00CA3A7D" w:rsidP="0015765B">
            <w:pPr>
              <w:pStyle w:val="Textnormy"/>
              <w:jc w:val="left"/>
            </w:pPr>
          </w:p>
        </w:tc>
      </w:tr>
      <w:tr w:rsidR="00CA3A7D" w:rsidRPr="00AC0FA5" w:rsidTr="0015765B">
        <w:trPr>
          <w:jc w:val="center"/>
        </w:trPr>
        <w:tc>
          <w:tcPr>
            <w:tcW w:w="1701" w:type="dxa"/>
          </w:tcPr>
          <w:p w:rsidR="00CA3A7D" w:rsidRPr="00AC0FA5" w:rsidRDefault="00CA3A7D" w:rsidP="0015765B">
            <w:pPr>
              <w:pStyle w:val="Textnormy"/>
              <w:ind w:right="246"/>
              <w:jc w:val="left"/>
            </w:pPr>
            <w:r w:rsidRPr="00AC0FA5">
              <w:t>IEC </w:t>
            </w:r>
            <w:r>
              <w:t>60730-1</w:t>
            </w:r>
          </w:p>
        </w:tc>
        <w:tc>
          <w:tcPr>
            <w:tcW w:w="907" w:type="dxa"/>
          </w:tcPr>
          <w:p w:rsidR="00CA3A7D" w:rsidRPr="00AC0FA5" w:rsidRDefault="00CA3A7D" w:rsidP="0015765B">
            <w:pPr>
              <w:pStyle w:val="Textnormy"/>
              <w:ind w:right="246"/>
              <w:jc w:val="left"/>
            </w:pPr>
            <w:r>
              <w:t>-</w:t>
            </w:r>
          </w:p>
        </w:tc>
        <w:tc>
          <w:tcPr>
            <w:tcW w:w="4706" w:type="dxa"/>
          </w:tcPr>
          <w:p w:rsidR="00CA3A7D" w:rsidRPr="00AC0FA5" w:rsidRDefault="00CA3A7D" w:rsidP="0015765B">
            <w:pPr>
              <w:pStyle w:val="Textnormy"/>
              <w:ind w:right="246"/>
              <w:jc w:val="left"/>
            </w:pPr>
            <w:r w:rsidRPr="00F8212F">
              <w:t xml:space="preserve">Automatická elektrická řídicí zařízení pro domácnost a podobné účely – Část 1: </w:t>
            </w:r>
            <w:r>
              <w:t>O</w:t>
            </w:r>
            <w:r w:rsidRPr="00F8212F">
              <w:t>becné požadavky</w:t>
            </w:r>
          </w:p>
        </w:tc>
        <w:tc>
          <w:tcPr>
            <w:tcW w:w="1701" w:type="dxa"/>
          </w:tcPr>
          <w:p w:rsidR="00CA3A7D" w:rsidRPr="00AC0FA5" w:rsidRDefault="00CA3A7D" w:rsidP="0015765B">
            <w:pPr>
              <w:pStyle w:val="Textnormy"/>
              <w:ind w:right="246"/>
              <w:jc w:val="left"/>
            </w:pPr>
            <w:r w:rsidRPr="00AC0FA5">
              <w:t>EN </w:t>
            </w:r>
            <w:r>
              <w:t>60730-1</w:t>
            </w:r>
          </w:p>
        </w:tc>
        <w:tc>
          <w:tcPr>
            <w:tcW w:w="907" w:type="dxa"/>
          </w:tcPr>
          <w:p w:rsidR="00CA3A7D" w:rsidRPr="00AC0FA5" w:rsidRDefault="00CA3A7D" w:rsidP="0015765B">
            <w:pPr>
              <w:pStyle w:val="Textnormy"/>
              <w:jc w:val="left"/>
            </w:pPr>
            <w:r>
              <w:t>-</w:t>
            </w:r>
          </w:p>
        </w:tc>
      </w:tr>
    </w:tbl>
    <w:p w:rsidR="00CA3A7D" w:rsidRDefault="00CA3A7D" w:rsidP="00CA3A7D">
      <w:pPr>
        <w:pStyle w:val="Textnormy"/>
      </w:pPr>
    </w:p>
    <w:sectPr w:rsidR="00CA3A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A3" w:rsidRDefault="00884CA3">
      <w:r>
        <w:separator/>
      </w:r>
    </w:p>
  </w:endnote>
  <w:endnote w:type="continuationSeparator" w:id="0">
    <w:p w:rsidR="00884CA3" w:rsidRDefault="0088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3A7D">
      <w:rPr>
        <w:rStyle w:val="slostrnky"/>
        <w:noProof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0EC5">
      <w:rPr>
        <w:rStyle w:val="slostrnky"/>
        <w:noProof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790EC5">
    <w:pPr>
      <w:pStyle w:val="1StrCopyright"/>
      <w:tabs>
        <w:tab w:val="clear" w:pos="2155"/>
      </w:tabs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EABD7" wp14:editId="4BB35C7A">
          <wp:simplePos x="0" y="0"/>
          <wp:positionH relativeFrom="column">
            <wp:posOffset>0</wp:posOffset>
          </wp:positionH>
          <wp:positionV relativeFrom="paragraph">
            <wp:posOffset>-60026</wp:posOffset>
          </wp:positionV>
          <wp:extent cx="730800" cy="435600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Z-logo_barevne_CMYK-poziti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7" t="21114" r="15938" b="22412"/>
                  <a:stretch/>
                </pic:blipFill>
                <pic:spPr bwMode="auto">
                  <a:xfrm>
                    <a:off x="0" y="0"/>
                    <a:ext cx="730800" cy="43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746">
      <w:tab/>
    </w:r>
    <w:r w:rsidR="00F34746">
      <w:rPr>
        <w:sz w:val="16"/>
      </w:rPr>
      <w:t>© Úřad pro technickou normalizaci, metro</w:t>
    </w:r>
    <w:r w:rsidR="007F4A22">
      <w:rPr>
        <w:sz w:val="16"/>
      </w:rPr>
      <w:t>l</w:t>
    </w:r>
    <w:r w:rsidR="00EB675D">
      <w:rPr>
        <w:sz w:val="16"/>
      </w:rPr>
      <w:t xml:space="preserve">ogii a státní zkušebnictví, </w:t>
    </w:r>
    <w:r w:rsidR="00CA3A7D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30DD8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30DD8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A3" w:rsidRDefault="00884CA3">
      <w:r>
        <w:separator/>
      </w:r>
    </w:p>
  </w:footnote>
  <w:footnote w:type="continuationSeparator" w:id="0">
    <w:p w:rsidR="00884CA3" w:rsidRDefault="0088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330DD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194038" o:spid="_x0000_s2053" type="#_x0000_t136" style="position:absolute;left:0;text-align:left;margin-left:0;margin-top:0;width:625.75pt;height:73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330DD8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194039" o:spid="_x0000_s2054" type="#_x0000_t136" style="position:absolute;left:0;text-align:left;margin-left:0;margin-top:0;width:625.75pt;height:73.6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D8" w:rsidRDefault="00330DD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194037" o:spid="_x0000_s2052" type="#_x0000_t136" style="position:absolute;left:0;text-align:left;margin-left:0;margin-top:0;width:625.75pt;height:73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330DD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194041" o:spid="_x0000_s2056" type="#_x0000_t136" style="position:absolute;left:0;text-align:left;margin-left:0;margin-top:0;width:625.75pt;height:73.6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A223E1">
      <w:t>ČSN EN 60730-2-10/A2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330DD8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194042" o:spid="_x0000_s2057" type="#_x0000_t136" style="position:absolute;left:0;text-align:left;margin-left:0;margin-top:0;width:625.75pt;height:73.6pt;rotation:315;z-index:-25164492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A223E1">
      <w:t>ČSN EN 60730-2-10/A2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6" w:rsidRDefault="00330DD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194040" o:spid="_x0000_s2055" type="#_x0000_t136" style="position:absolute;left:0;text-align:left;margin-left:0;margin-top:0;width:625.75pt;height:73.6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82"/>
    <w:rsid w:val="00072F44"/>
    <w:rsid w:val="000D22A5"/>
    <w:rsid w:val="000D7198"/>
    <w:rsid w:val="000D7CC4"/>
    <w:rsid w:val="00103F06"/>
    <w:rsid w:val="00104C1B"/>
    <w:rsid w:val="0013039D"/>
    <w:rsid w:val="0013058D"/>
    <w:rsid w:val="00135415"/>
    <w:rsid w:val="001567EF"/>
    <w:rsid w:val="00194A2B"/>
    <w:rsid w:val="001B1B5E"/>
    <w:rsid w:val="001B63E7"/>
    <w:rsid w:val="00210AAE"/>
    <w:rsid w:val="00231D91"/>
    <w:rsid w:val="00236AFC"/>
    <w:rsid w:val="0028489E"/>
    <w:rsid w:val="002B25EE"/>
    <w:rsid w:val="002D43DF"/>
    <w:rsid w:val="002F6A9A"/>
    <w:rsid w:val="00314F2D"/>
    <w:rsid w:val="00330DD8"/>
    <w:rsid w:val="00342659"/>
    <w:rsid w:val="00361E7B"/>
    <w:rsid w:val="0037125D"/>
    <w:rsid w:val="0038646B"/>
    <w:rsid w:val="003C701A"/>
    <w:rsid w:val="004069CB"/>
    <w:rsid w:val="00412CB3"/>
    <w:rsid w:val="004159F3"/>
    <w:rsid w:val="00421B22"/>
    <w:rsid w:val="00445C34"/>
    <w:rsid w:val="004634EE"/>
    <w:rsid w:val="004B223B"/>
    <w:rsid w:val="004C5D55"/>
    <w:rsid w:val="004D39AA"/>
    <w:rsid w:val="004F0AD7"/>
    <w:rsid w:val="00503D98"/>
    <w:rsid w:val="0055412A"/>
    <w:rsid w:val="00576ED5"/>
    <w:rsid w:val="005E3B21"/>
    <w:rsid w:val="005E6EAE"/>
    <w:rsid w:val="006A3382"/>
    <w:rsid w:val="006B04C9"/>
    <w:rsid w:val="006D2485"/>
    <w:rsid w:val="00734D06"/>
    <w:rsid w:val="00781609"/>
    <w:rsid w:val="00790EC5"/>
    <w:rsid w:val="007E0F61"/>
    <w:rsid w:val="007E23F0"/>
    <w:rsid w:val="007F27A2"/>
    <w:rsid w:val="007F4A22"/>
    <w:rsid w:val="008072A3"/>
    <w:rsid w:val="00831B2F"/>
    <w:rsid w:val="008638F1"/>
    <w:rsid w:val="00872046"/>
    <w:rsid w:val="00884CA3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85D80"/>
    <w:rsid w:val="009C3982"/>
    <w:rsid w:val="009E0658"/>
    <w:rsid w:val="009F2E2E"/>
    <w:rsid w:val="00A12852"/>
    <w:rsid w:val="00A223E1"/>
    <w:rsid w:val="00A3019F"/>
    <w:rsid w:val="00A83EAB"/>
    <w:rsid w:val="00A848B2"/>
    <w:rsid w:val="00A90C34"/>
    <w:rsid w:val="00AB15EC"/>
    <w:rsid w:val="00B04A88"/>
    <w:rsid w:val="00BB7770"/>
    <w:rsid w:val="00BC1FDE"/>
    <w:rsid w:val="00BE3C4B"/>
    <w:rsid w:val="00BE7844"/>
    <w:rsid w:val="00C02CD7"/>
    <w:rsid w:val="00C2107C"/>
    <w:rsid w:val="00C43BC8"/>
    <w:rsid w:val="00C904AB"/>
    <w:rsid w:val="00CA3A7D"/>
    <w:rsid w:val="00D35BBC"/>
    <w:rsid w:val="00D52E41"/>
    <w:rsid w:val="00D53D67"/>
    <w:rsid w:val="00D54402"/>
    <w:rsid w:val="00D64213"/>
    <w:rsid w:val="00D85849"/>
    <w:rsid w:val="00DA1989"/>
    <w:rsid w:val="00DE2529"/>
    <w:rsid w:val="00DE412B"/>
    <w:rsid w:val="00E12D49"/>
    <w:rsid w:val="00E173FC"/>
    <w:rsid w:val="00E22981"/>
    <w:rsid w:val="00E328E8"/>
    <w:rsid w:val="00E54908"/>
    <w:rsid w:val="00E64DC6"/>
    <w:rsid w:val="00E74C26"/>
    <w:rsid w:val="00EB1FEE"/>
    <w:rsid w:val="00EB675D"/>
    <w:rsid w:val="00F34746"/>
    <w:rsid w:val="00F415E7"/>
    <w:rsid w:val="00F74691"/>
    <w:rsid w:val="00F77831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4D055B-3CD0-44BB-976D-F1EB669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4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DD8"/>
  </w:style>
  <w:style w:type="paragraph" w:styleId="Nadpis1">
    <w:name w:val="heading 1"/>
    <w:basedOn w:val="Nadpiskapitoly"/>
    <w:next w:val="Textnormy"/>
    <w:link w:val="Nadpis1Char"/>
    <w:qFormat/>
    <w:rsid w:val="00330DD8"/>
    <w:pPr>
      <w:outlineLvl w:val="0"/>
    </w:pPr>
  </w:style>
  <w:style w:type="paragraph" w:styleId="Nadpis2">
    <w:name w:val="heading 2"/>
    <w:basedOn w:val="Nadpislnku"/>
    <w:next w:val="Textnormy"/>
    <w:qFormat/>
    <w:rsid w:val="00330DD8"/>
    <w:pPr>
      <w:outlineLvl w:val="1"/>
    </w:pPr>
  </w:style>
  <w:style w:type="paragraph" w:styleId="Nadpis3">
    <w:name w:val="heading 3"/>
    <w:basedOn w:val="Nadpislnku"/>
    <w:next w:val="Textnormy"/>
    <w:qFormat/>
    <w:rsid w:val="00330DD8"/>
    <w:pPr>
      <w:outlineLvl w:val="2"/>
    </w:pPr>
  </w:style>
  <w:style w:type="paragraph" w:styleId="Nadpis4">
    <w:name w:val="heading 4"/>
    <w:basedOn w:val="Nadpislnku"/>
    <w:next w:val="Textnormy"/>
    <w:qFormat/>
    <w:rsid w:val="00330DD8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330DD8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330DD8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330DD8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330DD8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330DD8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330DD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30DD8"/>
  </w:style>
  <w:style w:type="paragraph" w:customStyle="1" w:styleId="Nadpiskapitoly">
    <w:name w:val="Nadpis kapitoly"/>
    <w:basedOn w:val="Nadpislnku"/>
    <w:next w:val="Textnormy"/>
    <w:rsid w:val="00330DD8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330DD8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330DD8"/>
    <w:pPr>
      <w:spacing w:after="120"/>
      <w:jc w:val="both"/>
    </w:pPr>
  </w:style>
  <w:style w:type="paragraph" w:customStyle="1" w:styleId="1StrTrZn">
    <w:name w:val="1StrTrZn"/>
    <w:basedOn w:val="Textnormy"/>
    <w:rsid w:val="00330DD8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330DD8"/>
    <w:pPr>
      <w:spacing w:before="480"/>
    </w:pPr>
  </w:style>
  <w:style w:type="paragraph" w:customStyle="1" w:styleId="1StrNN-1-23">
    <w:name w:val="1StrNN-1-23"/>
    <w:basedOn w:val="Textnormy"/>
    <w:rsid w:val="00330DD8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330DD8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330DD8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330DD8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330DD8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330DD8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330DD8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330DD8"/>
    <w:pPr>
      <w:spacing w:before="0" w:after="120"/>
      <w:ind w:left="284" w:hanging="284"/>
    </w:pPr>
  </w:style>
  <w:style w:type="paragraph" w:styleId="Zhlav">
    <w:name w:val="header"/>
    <w:basedOn w:val="Textnormy"/>
    <w:rsid w:val="00330DD8"/>
    <w:pPr>
      <w:spacing w:after="360"/>
    </w:pPr>
    <w:rPr>
      <w:sz w:val="18"/>
    </w:rPr>
  </w:style>
  <w:style w:type="paragraph" w:styleId="Zpat">
    <w:name w:val="footer"/>
    <w:basedOn w:val="Textnormy"/>
    <w:rsid w:val="00330DD8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330DD8"/>
    <w:pPr>
      <w:spacing w:after="120"/>
    </w:pPr>
  </w:style>
  <w:style w:type="paragraph" w:styleId="Obsah2">
    <w:name w:val="toc 2"/>
    <w:basedOn w:val="Obsah1"/>
    <w:next w:val="Textnormy"/>
    <w:uiPriority w:val="39"/>
    <w:rsid w:val="00330DD8"/>
  </w:style>
  <w:style w:type="paragraph" w:styleId="Obsah1">
    <w:name w:val="toc 1"/>
    <w:basedOn w:val="Textnormy"/>
    <w:next w:val="Textnormy"/>
    <w:uiPriority w:val="39"/>
    <w:rsid w:val="00330DD8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330DD8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330DD8"/>
  </w:style>
  <w:style w:type="paragraph" w:styleId="Obsah4">
    <w:name w:val="toc 4"/>
    <w:basedOn w:val="Obsah1"/>
    <w:next w:val="Textnormy"/>
    <w:uiPriority w:val="39"/>
    <w:rsid w:val="00330DD8"/>
  </w:style>
  <w:style w:type="paragraph" w:styleId="Obsah6">
    <w:name w:val="toc 6"/>
    <w:basedOn w:val="Obsah1"/>
    <w:next w:val="Textnormy"/>
    <w:rsid w:val="00330DD8"/>
  </w:style>
  <w:style w:type="paragraph" w:styleId="Obsah7">
    <w:name w:val="toc 7"/>
    <w:basedOn w:val="Obsah1"/>
    <w:next w:val="Textnormy"/>
    <w:semiHidden/>
    <w:rsid w:val="00330DD8"/>
  </w:style>
  <w:style w:type="paragraph" w:styleId="Obsah8">
    <w:name w:val="toc 8"/>
    <w:basedOn w:val="Obsah1"/>
    <w:next w:val="Textnormy"/>
    <w:semiHidden/>
    <w:rsid w:val="00330DD8"/>
  </w:style>
  <w:style w:type="character" w:styleId="Znakapoznpodarou">
    <w:name w:val="footnote reference"/>
    <w:basedOn w:val="Standardnpsmoodstavce"/>
    <w:rsid w:val="00330DD8"/>
    <w:rPr>
      <w:vertAlign w:val="superscript"/>
    </w:rPr>
  </w:style>
  <w:style w:type="paragraph" w:customStyle="1" w:styleId="ABCseznamCZ">
    <w:name w:val="ABC seznamCZ"/>
    <w:basedOn w:val="Textnormy"/>
    <w:rsid w:val="00330DD8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330DD8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link w:val="SeznamvnormChar"/>
    <w:rsid w:val="00330DD8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330DD8"/>
    <w:pPr>
      <w:keepNext/>
      <w:spacing w:after="160"/>
      <w:jc w:val="center"/>
    </w:pPr>
  </w:style>
  <w:style w:type="paragraph" w:customStyle="1" w:styleId="Abecednseznam">
    <w:name w:val="Abecední seznam"/>
    <w:basedOn w:val="Textnormy"/>
    <w:rsid w:val="00330DD8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330DD8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330DD8"/>
    <w:pPr>
      <w:ind w:left="1600"/>
    </w:pPr>
  </w:style>
  <w:style w:type="paragraph" w:customStyle="1" w:styleId="1Str1Rad">
    <w:name w:val="1Str1Rad"/>
    <w:basedOn w:val="Textnormy"/>
    <w:rsid w:val="00330DD8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330DD8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330DD8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330DD8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330DD8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330DD8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330DD8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330DD8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330DD8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330DD8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330DD8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330DD8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330DD8"/>
    <w:pPr>
      <w:spacing w:before="300"/>
    </w:pPr>
  </w:style>
  <w:style w:type="paragraph" w:customStyle="1" w:styleId="1StrNN-X">
    <w:name w:val="1StrNN-X"/>
    <w:basedOn w:val="1StrNN-1-23"/>
    <w:rsid w:val="00330DD8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330DD8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330DD8"/>
    <w:pPr>
      <w:spacing w:before="800"/>
    </w:pPr>
  </w:style>
  <w:style w:type="paragraph" w:customStyle="1" w:styleId="1StrNN-2-4">
    <w:name w:val="1StrNN-2-4"/>
    <w:basedOn w:val="1StrNN-1-23"/>
    <w:rsid w:val="00330DD8"/>
  </w:style>
  <w:style w:type="paragraph" w:customStyle="1" w:styleId="1StrNN-3-4">
    <w:name w:val="1StrNN-3-4"/>
    <w:basedOn w:val="1StrNN-1-23"/>
    <w:rsid w:val="00330DD8"/>
    <w:pPr>
      <w:spacing w:before="460"/>
    </w:pPr>
  </w:style>
  <w:style w:type="paragraph" w:customStyle="1" w:styleId="1StrNN-4-4">
    <w:name w:val="1StrNN-4-4"/>
    <w:basedOn w:val="1StrNN-1-23"/>
    <w:rsid w:val="00330DD8"/>
    <w:pPr>
      <w:spacing w:before="340"/>
    </w:pPr>
  </w:style>
  <w:style w:type="paragraph" w:customStyle="1" w:styleId="ABCSeznamUS">
    <w:name w:val="ABC SeznamUS"/>
    <w:basedOn w:val="Textnormy"/>
    <w:rsid w:val="00330DD8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330DD8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330DD8"/>
    <w:pPr>
      <w:jc w:val="left"/>
    </w:pPr>
  </w:style>
  <w:style w:type="paragraph" w:customStyle="1" w:styleId="1StrNN-4-3">
    <w:name w:val="1StrNN-4-3"/>
    <w:basedOn w:val="1StrNN-1-23"/>
    <w:rsid w:val="00330DD8"/>
    <w:pPr>
      <w:spacing w:before="160"/>
    </w:pPr>
  </w:style>
  <w:style w:type="paragraph" w:customStyle="1" w:styleId="Upozornn">
    <w:name w:val="Upozornění"/>
    <w:basedOn w:val="Normln"/>
    <w:rsid w:val="00330DD8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330DD8"/>
  </w:style>
  <w:style w:type="character" w:styleId="Hypertextovodkaz">
    <w:name w:val="Hyperlink"/>
    <w:unhideWhenUsed/>
    <w:rsid w:val="00330DD8"/>
    <w:rPr>
      <w:color w:val="0000FF"/>
      <w:u w:val="single"/>
    </w:rPr>
  </w:style>
  <w:style w:type="table" w:styleId="Mkatabulky">
    <w:name w:val="Table Grid"/>
    <w:basedOn w:val="Normlntabulka"/>
    <w:rsid w:val="0033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30DD8"/>
    <w:rPr>
      <w:b/>
      <w:sz w:val="24"/>
    </w:rPr>
  </w:style>
  <w:style w:type="character" w:styleId="Odkaznakoment">
    <w:name w:val="annotation reference"/>
    <w:basedOn w:val="Standardnpsmoodstavce"/>
    <w:unhideWhenUsed/>
    <w:rsid w:val="00330DD8"/>
    <w:rPr>
      <w:sz w:val="16"/>
      <w:szCs w:val="16"/>
    </w:rPr>
  </w:style>
  <w:style w:type="paragraph" w:styleId="Textbubliny">
    <w:name w:val="Balloon Text"/>
    <w:basedOn w:val="Normln"/>
    <w:link w:val="TextbublinyChar"/>
    <w:rsid w:val="00330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0DD8"/>
  </w:style>
  <w:style w:type="character" w:customStyle="1" w:styleId="TextkomenteChar">
    <w:name w:val="Text komentáře Char"/>
    <w:basedOn w:val="Standardnpsmoodstavce"/>
    <w:link w:val="Textkomente"/>
    <w:rsid w:val="00330DD8"/>
  </w:style>
  <w:style w:type="character" w:customStyle="1" w:styleId="TextnormyCharChar">
    <w:name w:val="Text normy Char Char"/>
    <w:semiHidden/>
    <w:rsid w:val="00330DD8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330DD8"/>
  </w:style>
  <w:style w:type="paragraph" w:customStyle="1" w:styleId="NadpisObr">
    <w:name w:val="NadpisObr"/>
    <w:basedOn w:val="Nadpis4"/>
    <w:next w:val="Textnormy"/>
    <w:qFormat/>
    <w:rsid w:val="00330DD8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330DD8"/>
    <w:pPr>
      <w:jc w:val="center"/>
    </w:pPr>
  </w:style>
  <w:style w:type="paragraph" w:customStyle="1" w:styleId="NadpisTabObr">
    <w:name w:val="NadpisTabObr"/>
    <w:basedOn w:val="Nadpislnku"/>
    <w:next w:val="Textnormy"/>
    <w:rsid w:val="00BE7844"/>
    <w:pPr>
      <w:keepNext w:val="0"/>
      <w:jc w:val="center"/>
    </w:pPr>
  </w:style>
  <w:style w:type="character" w:customStyle="1" w:styleId="NadpislnkuChar">
    <w:name w:val="Nadpis článku Char"/>
    <w:link w:val="Nadpislnku"/>
    <w:rsid w:val="00330DD8"/>
    <w:rPr>
      <w:b/>
    </w:rPr>
  </w:style>
  <w:style w:type="character" w:customStyle="1" w:styleId="SeznamvnormChar">
    <w:name w:val="Seznam v normě Char"/>
    <w:basedOn w:val="TextnormyChar1"/>
    <w:link w:val="Seznamvnorm"/>
    <w:rsid w:val="00CA3A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30D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30DD8"/>
    <w:rPr>
      <w:b/>
      <w:bCs/>
    </w:rPr>
  </w:style>
  <w:style w:type="character" w:styleId="Sledovanodkaz">
    <w:name w:val="FollowedHyperlink"/>
    <w:basedOn w:val="Standardnpsmoodstavce"/>
    <w:semiHidden/>
    <w:unhideWhenUsed/>
    <w:rsid w:val="00330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ebstore.iec.ch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enelec.eu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23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Normy23i.dotx</Template>
  <TotalTime>11</TotalTime>
  <Pages>6</Pages>
  <Words>1048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ČESKÁ TECHNICKÁ NORMA</vt:lpstr>
      <vt:lpstr>Příloha ZA (normativní)</vt:lpstr>
      <vt:lpstr>Normativní odkazy na mezinárodní publikace a jim odpovídající evropské publikace</vt:lpstr>
    </vt:vector>
  </TitlesOfParts>
  <Company>ÚNMZ</Company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4</cp:revision>
  <cp:lastPrinted>2020-10-29T07:20:00Z</cp:lastPrinted>
  <dcterms:created xsi:type="dcterms:W3CDTF">2023-03-09T05:46:00Z</dcterms:created>
  <dcterms:modified xsi:type="dcterms:W3CDTF">2023-03-10T08:40:00Z</dcterms:modified>
</cp:coreProperties>
</file>