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C31C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6B4B71">
      <w:pPr>
        <w:pStyle w:val="1Str1Rad"/>
        <w:spacing w:after="60"/>
        <w:rPr>
          <w:b/>
        </w:rPr>
      </w:pPr>
      <w:r w:rsidRPr="000B2B8B">
        <w:rPr>
          <w:sz w:val="16"/>
        </w:rPr>
        <w:t>ICS 23.020.40</w:t>
      </w:r>
      <w:r w:rsidR="00A83EAB">
        <w:tab/>
      </w:r>
      <w:r w:rsidR="00A83EAB">
        <w:tab/>
      </w:r>
      <w:r w:rsidR="00A83EAB">
        <w:rPr>
          <w:b/>
        </w:rPr>
        <w:t xml:space="preserve">Měsíc </w:t>
      </w:r>
      <w:r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6B4B71" w:rsidP="006B4B71">
            <w:pPr>
              <w:pStyle w:val="1StrNN-3-23"/>
            </w:pPr>
            <w:r w:rsidRPr="000B2B8B">
              <w:t>Kryogenické nádoby</w:t>
            </w:r>
            <w:r>
              <w:t xml:space="preserve"> – </w:t>
            </w:r>
            <w:r w:rsidRPr="000B2B8B">
              <w:t>Stabilní nevakuově izolované nádoby –</w:t>
            </w:r>
            <w:r w:rsidRPr="000B2B8B">
              <w:br/>
              <w:t>Část 3: Provozní požadavky</w:t>
            </w:r>
          </w:p>
        </w:tc>
        <w:tc>
          <w:tcPr>
            <w:tcW w:w="2552" w:type="dxa"/>
          </w:tcPr>
          <w:p w:rsidR="006B4B71" w:rsidRPr="000B2B8B" w:rsidRDefault="006B4B71" w:rsidP="006B4B71">
            <w:pPr>
              <w:pStyle w:val="1StrCN"/>
            </w:pPr>
            <w:r w:rsidRPr="000B2B8B">
              <w:t>ČSN</w:t>
            </w:r>
            <w:r w:rsidRPr="000B2B8B">
              <w:br/>
              <w:t>EN 14197-3</w:t>
            </w:r>
            <w:r w:rsidRPr="000B2B8B">
              <w:br/>
            </w:r>
          </w:p>
          <w:p w:rsidR="00A83EAB" w:rsidRDefault="006B4B71" w:rsidP="006B4B71">
            <w:pPr>
              <w:pStyle w:val="1StrTrZn"/>
            </w:pPr>
            <w:r w:rsidRPr="000B2B8B">
              <w:t>69 7257</w:t>
            </w:r>
          </w:p>
        </w:tc>
      </w:tr>
    </w:tbl>
    <w:p w:rsidR="00A83EAB" w:rsidRDefault="00A83EAB">
      <w:pPr>
        <w:pStyle w:val="Shodnost"/>
      </w:pPr>
    </w:p>
    <w:p w:rsidR="006B4B71" w:rsidRPr="000B2B8B" w:rsidRDefault="006B4B71" w:rsidP="006B4B71">
      <w:pPr>
        <w:pStyle w:val="Cizojazynnzev"/>
      </w:pPr>
      <w:r w:rsidRPr="000B2B8B">
        <w:t>Cryogenic vessels</w:t>
      </w:r>
      <w:r>
        <w:t xml:space="preserve"> – </w:t>
      </w:r>
      <w:r w:rsidRPr="000B2B8B">
        <w:t>Static non-vacuum insulated vessels</w:t>
      </w:r>
      <w:r>
        <w:t xml:space="preserve"> – </w:t>
      </w:r>
      <w:r>
        <w:br/>
      </w:r>
      <w:r w:rsidRPr="000B2B8B">
        <w:t>Part 3: Operational requirements</w:t>
      </w:r>
    </w:p>
    <w:p w:rsidR="006B4B71" w:rsidRPr="000B2B8B" w:rsidRDefault="006B4B71" w:rsidP="006B4B71">
      <w:pPr>
        <w:pStyle w:val="Cizojazynnzev"/>
        <w:rPr>
          <w:lang w:val="fr-FR"/>
        </w:rPr>
      </w:pPr>
      <w:r w:rsidRPr="000B2B8B">
        <w:rPr>
          <w:lang w:val="fr-FR"/>
        </w:rPr>
        <w:t>Récipients cryogéniques</w:t>
      </w:r>
      <w:r>
        <w:rPr>
          <w:lang w:val="fr-FR"/>
        </w:rPr>
        <w:t xml:space="preserve"> – </w:t>
      </w:r>
      <w:r w:rsidRPr="000B2B8B">
        <w:rPr>
          <w:lang w:val="fr-FR"/>
        </w:rPr>
        <w:t>Récipients fixes, non isolés sous vide</w:t>
      </w:r>
      <w:r>
        <w:rPr>
          <w:lang w:val="fr-FR"/>
        </w:rPr>
        <w:t xml:space="preserve"> – </w:t>
      </w:r>
      <w:r>
        <w:rPr>
          <w:lang w:val="fr-FR"/>
        </w:rPr>
        <w:br/>
      </w:r>
      <w:r w:rsidRPr="000B2B8B">
        <w:rPr>
          <w:lang w:val="fr-FR"/>
        </w:rPr>
        <w:t>Partie 3: Exigences de service</w:t>
      </w:r>
    </w:p>
    <w:p w:rsidR="006B4B71" w:rsidRPr="000B2B8B" w:rsidRDefault="006B4B71" w:rsidP="006B4B71">
      <w:pPr>
        <w:pStyle w:val="Cizojazynnzev"/>
        <w:spacing w:after="840"/>
        <w:rPr>
          <w:lang w:val="de-DE"/>
        </w:rPr>
      </w:pPr>
      <w:r w:rsidRPr="000B2B8B">
        <w:rPr>
          <w:lang w:val="de-DE"/>
        </w:rPr>
        <w:t>Kryo-Behälter</w:t>
      </w:r>
      <w:r>
        <w:rPr>
          <w:lang w:val="de-DE"/>
        </w:rPr>
        <w:t xml:space="preserve"> – </w:t>
      </w:r>
      <w:r w:rsidRPr="000B2B8B">
        <w:rPr>
          <w:lang w:val="de-DE"/>
        </w:rPr>
        <w:t>Ortsfeste nicht vakuum-isolierte Kryo-Behälter</w:t>
      </w:r>
      <w:r>
        <w:rPr>
          <w:lang w:val="de-DE"/>
        </w:rPr>
        <w:t xml:space="preserve"> – </w:t>
      </w:r>
      <w:r>
        <w:rPr>
          <w:lang w:val="de-DE"/>
        </w:rPr>
        <w:br/>
      </w:r>
      <w:r w:rsidRPr="000B2B8B">
        <w:rPr>
          <w:lang w:val="de-DE"/>
        </w:rPr>
        <w:t>Teil 3: Betriebsanforderungen</w:t>
      </w:r>
    </w:p>
    <w:p w:rsidR="006B4B71" w:rsidRPr="000B2B8B" w:rsidRDefault="006B4B71" w:rsidP="006B4B71">
      <w:pPr>
        <w:pStyle w:val="Textnormy"/>
      </w:pPr>
      <w:r w:rsidRPr="000B2B8B">
        <w:t>Tato norma je českou verzí evropské normy EN 14197-3:2004 včetně opravy EN 14197</w:t>
      </w:r>
      <w:r w:rsidRPr="000B2B8B">
        <w:rPr>
          <w:rFonts w:cs="Arial"/>
        </w:rPr>
        <w:t>-</w:t>
      </w:r>
      <w:r w:rsidRPr="000B2B8B">
        <w:t>3:2004/AC:2004</w:t>
      </w:r>
      <w:r w:rsidRPr="000B2B8B">
        <w:rPr>
          <w:rFonts w:cs="Arial"/>
        </w:rPr>
        <w:t>-</w:t>
      </w:r>
      <w:r w:rsidRPr="000B2B8B">
        <w:t xml:space="preserve">08. </w:t>
      </w:r>
      <w:r>
        <w:br/>
      </w:r>
      <w:r w:rsidRPr="000B2B8B">
        <w:t xml:space="preserve">Překlad byl zajištěn </w:t>
      </w:r>
      <w:r>
        <w:t>Českou agenturou pro standardizaci</w:t>
      </w:r>
      <w:r w:rsidRPr="000B2B8B">
        <w:t>. Má stejný status jako oficiální ve</w:t>
      </w:r>
      <w:r w:rsidRPr="000B2B8B">
        <w:t>r</w:t>
      </w:r>
      <w:r w:rsidRPr="000B2B8B">
        <w:t>ze.</w:t>
      </w:r>
    </w:p>
    <w:p w:rsidR="00A83EAB" w:rsidRDefault="006B4B71" w:rsidP="006B4B71">
      <w:pPr>
        <w:pStyle w:val="Textnormy"/>
      </w:pPr>
      <w:r w:rsidRPr="000B2B8B">
        <w:t xml:space="preserve">This standard </w:t>
      </w:r>
      <w:r w:rsidRPr="000B2B8B">
        <w:rPr>
          <w:spacing w:val="-7"/>
        </w:rPr>
        <w:t xml:space="preserve">is the Czech </w:t>
      </w:r>
      <w:r w:rsidRPr="000B2B8B">
        <w:t xml:space="preserve">version of the European Standard EN 14197-3:2004 including its </w:t>
      </w:r>
      <w:r>
        <w:t>C</w:t>
      </w:r>
      <w:r w:rsidRPr="000B2B8B">
        <w:t>orrigendum EN 14197-3:2004/AC</w:t>
      </w:r>
      <w:proofErr w:type="gramStart"/>
      <w:r w:rsidRPr="000B2B8B">
        <w:t>:2004</w:t>
      </w:r>
      <w:proofErr w:type="gramEnd"/>
      <w:r w:rsidRPr="000B2B8B">
        <w:t xml:space="preserve">-08. It was translated by </w:t>
      </w:r>
      <w:r>
        <w:t xml:space="preserve">the </w:t>
      </w:r>
      <w:r w:rsidRPr="00E90BBC">
        <w:t xml:space="preserve">Czech </w:t>
      </w:r>
      <w:r>
        <w:t>Standardization Agency.</w:t>
      </w:r>
      <w:r w:rsidRPr="000B2B8B">
        <w:t xml:space="preserve"> It has the same status as the officia</w:t>
      </w:r>
      <w:r w:rsidRPr="000B2B8B">
        <w:t>l</w:t>
      </w:r>
      <w:r w:rsidRPr="000B2B8B">
        <w:t xml:space="preserve"> version.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6B4B71" w:rsidRPr="000B2B8B" w:rsidRDefault="006B4B71" w:rsidP="006B4B71">
      <w:pPr>
        <w:pStyle w:val="Nadpiskapitoly"/>
        <w:spacing w:before="0"/>
      </w:pPr>
      <w:r w:rsidRPr="000B2B8B">
        <w:lastRenderedPageBreak/>
        <w:t>Národní předmluva</w:t>
      </w:r>
    </w:p>
    <w:p w:rsidR="006B4B71" w:rsidRPr="000B2B8B" w:rsidRDefault="006B4B71" w:rsidP="006B4B71">
      <w:pPr>
        <w:pStyle w:val="Nadpislnku"/>
      </w:pPr>
      <w:r w:rsidRPr="000B2B8B">
        <w:t>Informace o</w:t>
      </w:r>
      <w:r>
        <w:t> </w:t>
      </w:r>
      <w:r w:rsidRPr="000B2B8B">
        <w:t>citovaných dokumentech</w:t>
      </w:r>
    </w:p>
    <w:p w:rsidR="006B4B71" w:rsidRPr="000B2B8B" w:rsidRDefault="006B4B71" w:rsidP="006B4B71">
      <w:pPr>
        <w:pStyle w:val="Textnormy"/>
      </w:pPr>
      <w:r w:rsidRPr="000B2B8B">
        <w:t>EN 12300</w:t>
      </w:r>
      <w:r w:rsidRPr="000B2B8B">
        <w:rPr>
          <w:rFonts w:ascii="Arial Unicode MS" w:eastAsia="Arial Unicode MS" w:hAnsi="Arial Unicode MS" w:cs="Arial Unicode MS" w:hint="eastAsia"/>
        </w:rPr>
        <w:t> </w:t>
      </w:r>
      <w:r w:rsidRPr="000B2B8B">
        <w:t>zavedena v</w:t>
      </w:r>
      <w:r>
        <w:t> </w:t>
      </w:r>
      <w:r w:rsidRPr="000B2B8B">
        <w:t>ČSN EN 12300 (69 7200) Kryogenické nádoby</w:t>
      </w:r>
      <w:r>
        <w:t xml:space="preserve"> – </w:t>
      </w:r>
      <w:r w:rsidRPr="000B2B8B">
        <w:t>Provozní čistota při nízkých te</w:t>
      </w:r>
      <w:r w:rsidRPr="000B2B8B">
        <w:t>p</w:t>
      </w:r>
      <w:r w:rsidRPr="000B2B8B">
        <w:t>lotách</w:t>
      </w:r>
    </w:p>
    <w:p w:rsidR="006B4B71" w:rsidRPr="000B2B8B" w:rsidRDefault="006B4B71" w:rsidP="006B4B71">
      <w:pPr>
        <w:pStyle w:val="Textnormy"/>
      </w:pPr>
      <w:r w:rsidRPr="000B2B8B">
        <w:t>EN 14197-1:2003</w:t>
      </w:r>
      <w:r w:rsidRPr="000B2B8B">
        <w:rPr>
          <w:rFonts w:ascii="Arial Unicode MS" w:eastAsia="Arial Unicode MS" w:hAnsi="Arial Unicode MS" w:cs="Arial Unicode MS" w:hint="eastAsia"/>
        </w:rPr>
        <w:t> </w:t>
      </w:r>
      <w:r w:rsidRPr="000B2B8B">
        <w:t>zavedena v</w:t>
      </w:r>
      <w:r>
        <w:t> </w:t>
      </w:r>
      <w:r w:rsidRPr="000B2B8B">
        <w:t>ČSN</w:t>
      </w:r>
      <w:r>
        <w:t> </w:t>
      </w:r>
      <w:r w:rsidRPr="000B2B8B">
        <w:t>EN 14197-1:2004 (69 7257) Kryogenické nádoby</w:t>
      </w:r>
      <w:r>
        <w:t xml:space="preserve"> – </w:t>
      </w:r>
      <w:r w:rsidRPr="000B2B8B">
        <w:t>Stabilní nevaku</w:t>
      </w:r>
      <w:r w:rsidRPr="000B2B8B">
        <w:t>o</w:t>
      </w:r>
      <w:r w:rsidRPr="000B2B8B">
        <w:t>vě izolované nádoby</w:t>
      </w:r>
      <w:r>
        <w:t xml:space="preserve"> – </w:t>
      </w:r>
      <w:r w:rsidRPr="000B2B8B">
        <w:t>Část</w:t>
      </w:r>
      <w:r>
        <w:t> </w:t>
      </w:r>
      <w:r w:rsidRPr="000B2B8B">
        <w:t>1: Základní p</w:t>
      </w:r>
      <w:r w:rsidRPr="000B2B8B">
        <w:t>o</w:t>
      </w:r>
      <w:r w:rsidRPr="000B2B8B">
        <w:t>žadavky</w:t>
      </w:r>
    </w:p>
    <w:p w:rsidR="006B4B71" w:rsidRPr="000B2B8B" w:rsidRDefault="006B4B71" w:rsidP="006B4B71">
      <w:pPr>
        <w:pStyle w:val="Textnormy"/>
      </w:pPr>
      <w:r w:rsidRPr="000B2B8B">
        <w:t>EN 14197-2</w:t>
      </w:r>
      <w:r w:rsidRPr="000B2B8B">
        <w:rPr>
          <w:rFonts w:ascii="Arial Unicode MS" w:eastAsia="Arial Unicode MS" w:hAnsi="Arial Unicode MS" w:cs="Arial Unicode MS" w:hint="eastAsia"/>
        </w:rPr>
        <w:t> </w:t>
      </w:r>
      <w:r w:rsidRPr="000B2B8B">
        <w:t>zavedena v</w:t>
      </w:r>
      <w:r>
        <w:t> </w:t>
      </w:r>
      <w:r w:rsidRPr="000B2B8B">
        <w:t>ČSN EN 14197-2 (69 7257) Kryogenické nádoby</w:t>
      </w:r>
      <w:r>
        <w:t xml:space="preserve"> – </w:t>
      </w:r>
      <w:r w:rsidRPr="000B2B8B">
        <w:t>Stabilní nevakuově izolov</w:t>
      </w:r>
      <w:r w:rsidRPr="000B2B8B">
        <w:t>a</w:t>
      </w:r>
      <w:r w:rsidRPr="000B2B8B">
        <w:t>né nádoby</w:t>
      </w:r>
      <w:r>
        <w:t xml:space="preserve"> – </w:t>
      </w:r>
      <w:r w:rsidRPr="000B2B8B">
        <w:t>Část</w:t>
      </w:r>
      <w:r>
        <w:t> </w:t>
      </w:r>
      <w:r w:rsidRPr="000B2B8B">
        <w:t>2: Konstrukce, výroba, kontrola a</w:t>
      </w:r>
      <w:r>
        <w:t> </w:t>
      </w:r>
      <w:r w:rsidRPr="000B2B8B">
        <w:t>zkoušení</w:t>
      </w:r>
    </w:p>
    <w:p w:rsidR="006B4B71" w:rsidRPr="000B2B8B" w:rsidRDefault="006B4B71" w:rsidP="006B4B71">
      <w:pPr>
        <w:pStyle w:val="Textnormy"/>
      </w:pPr>
      <w:r w:rsidRPr="000B2B8B">
        <w:t>EN 60079-10</w:t>
      </w:r>
      <w:r w:rsidRPr="000B2B8B">
        <w:rPr>
          <w:rFonts w:ascii="Arial Unicode MS" w:eastAsia="Arial Unicode MS" w:hAnsi="Arial Unicode MS" w:cs="Arial Unicode MS" w:hint="eastAsia"/>
        </w:rPr>
        <w:t> </w:t>
      </w:r>
      <w:r w:rsidRPr="000B2B8B">
        <w:t>zavedena v</w:t>
      </w:r>
      <w:r>
        <w:t> </w:t>
      </w:r>
      <w:r w:rsidRPr="000B2B8B">
        <w:t>ČSN</w:t>
      </w:r>
      <w:r>
        <w:t> EN </w:t>
      </w:r>
      <w:r w:rsidRPr="000B2B8B">
        <w:t>60079-10 (33</w:t>
      </w:r>
      <w:r>
        <w:t> </w:t>
      </w:r>
      <w:r w:rsidRPr="000B2B8B">
        <w:t>2320) Elektrická zařízení pro výbušnou plynnou atmosf</w:t>
      </w:r>
      <w:r w:rsidRPr="000B2B8B">
        <w:t>é</w:t>
      </w:r>
      <w:r w:rsidRPr="000B2B8B">
        <w:t>ru</w:t>
      </w:r>
      <w:r>
        <w:t xml:space="preserve"> – </w:t>
      </w:r>
      <w:r w:rsidRPr="000B2B8B">
        <w:t>Část</w:t>
      </w:r>
      <w:r>
        <w:t> </w:t>
      </w:r>
      <w:r w:rsidRPr="000B2B8B">
        <w:t>10: Určování nebezpečných prostorů</w:t>
      </w:r>
    </w:p>
    <w:p w:rsidR="006B4B71" w:rsidRPr="000B2B8B" w:rsidRDefault="006B4B71" w:rsidP="006B4B71">
      <w:pPr>
        <w:pStyle w:val="Textnormy"/>
      </w:pPr>
      <w:r w:rsidRPr="000B2B8B">
        <w:t>EN 60079-14</w:t>
      </w:r>
      <w:r w:rsidRPr="000B2B8B">
        <w:rPr>
          <w:rFonts w:ascii="Arial Unicode MS" w:eastAsia="Arial Unicode MS" w:hAnsi="Arial Unicode MS" w:cs="Arial Unicode MS" w:hint="eastAsia"/>
        </w:rPr>
        <w:t> </w:t>
      </w:r>
      <w:r w:rsidRPr="000B2B8B">
        <w:t>zavedena v</w:t>
      </w:r>
      <w:r>
        <w:t> ČSN EN 60079-14 (33 </w:t>
      </w:r>
      <w:r w:rsidRPr="000B2B8B">
        <w:t>2320) Elektrická zařízení pro výbušnou plynnou atmosf</w:t>
      </w:r>
      <w:r w:rsidRPr="000B2B8B">
        <w:t>é</w:t>
      </w:r>
      <w:r w:rsidRPr="000B2B8B">
        <w:t>ru</w:t>
      </w:r>
      <w:r>
        <w:t xml:space="preserve"> – </w:t>
      </w:r>
      <w:r w:rsidRPr="000B2B8B">
        <w:t>Část</w:t>
      </w:r>
      <w:r>
        <w:t> </w:t>
      </w:r>
      <w:r w:rsidRPr="000B2B8B">
        <w:t>14: Elektrické instalace v</w:t>
      </w:r>
      <w:r>
        <w:t> </w:t>
      </w:r>
      <w:r w:rsidRPr="000B2B8B">
        <w:t>nebezpečných prostorech (jiných než důlních)</w:t>
      </w:r>
    </w:p>
    <w:p w:rsidR="006B4B71" w:rsidRPr="000B2B8B" w:rsidRDefault="006B4B71" w:rsidP="006B4B71">
      <w:pPr>
        <w:pStyle w:val="Nadpislnku"/>
      </w:pPr>
      <w:r>
        <w:t>Souvisící právní</w:t>
      </w:r>
      <w:r w:rsidRPr="000B2B8B">
        <w:t xml:space="preserve"> předpisy</w:t>
      </w:r>
    </w:p>
    <w:p w:rsidR="006B4B71" w:rsidRPr="004D5EC9" w:rsidRDefault="006B4B71" w:rsidP="006B4B71">
      <w:pPr>
        <w:pStyle w:val="Textnormy"/>
      </w:pPr>
      <w:r w:rsidRPr="004D5EC9">
        <w:t>Směrnice Evropského parlamentu a Rady 97/23/ES (97/23/EC) ze dne 29. května 1997, o sbližování právních pře</w:t>
      </w:r>
      <w:r w:rsidRPr="004D5EC9">
        <w:t>d</w:t>
      </w:r>
      <w:r w:rsidRPr="004D5EC9">
        <w:t>pisů čle</w:t>
      </w:r>
      <w:r w:rsidRPr="004D5EC9">
        <w:t>n</w:t>
      </w:r>
      <w:r w:rsidRPr="004D5EC9">
        <w:t>ských států týkajících se tlakových zařízení. V České republice je tato směrnice zavedena nařízením vlády č. 26/2003 Sb., ze dne 9. prosince 2002, kterým se stanoví technické požadavky na tlaková zařízení, v platném znění.</w:t>
      </w:r>
    </w:p>
    <w:p w:rsidR="006B4B71" w:rsidRDefault="006B4B71" w:rsidP="006B4B71">
      <w:pPr>
        <w:pStyle w:val="Nadpislnku"/>
      </w:pPr>
      <w:r>
        <w:t>Upozornění na národní poznámky</w:t>
      </w:r>
    </w:p>
    <w:p w:rsidR="006B4B71" w:rsidRPr="00127ABF" w:rsidRDefault="006B4B71" w:rsidP="006B4B71">
      <w:pPr>
        <w:pStyle w:val="Textnormy"/>
        <w:rPr>
          <w:spacing w:val="-11"/>
        </w:rPr>
      </w:pPr>
      <w:r w:rsidRPr="00127ABF">
        <w:rPr>
          <w:spacing w:val="-11"/>
        </w:rPr>
        <w:t>Do normy byla ke kapitole 2 doplněna národní poznámka upozorňující na zapracovanou opravu EN 14197-3:2004/AC:2004-08.</w:t>
      </w:r>
    </w:p>
    <w:p w:rsidR="006B4B71" w:rsidRPr="000B2B8B" w:rsidRDefault="006B4B71" w:rsidP="006B4B71">
      <w:pPr>
        <w:pStyle w:val="Nadpislnku"/>
      </w:pPr>
      <w:r w:rsidRPr="000B2B8B">
        <w:t>Vypracování normy</w:t>
      </w:r>
    </w:p>
    <w:p w:rsidR="006B4B71" w:rsidRPr="000B2B8B" w:rsidRDefault="006B4B71" w:rsidP="006B4B71">
      <w:pPr>
        <w:pStyle w:val="Textnormy"/>
      </w:pPr>
      <w:r w:rsidRPr="000B2B8B">
        <w:t>Zpracovatel: Chevess Engineering, s.r.o., IČ</w:t>
      </w:r>
      <w:r>
        <w:t>O</w:t>
      </w:r>
      <w:r w:rsidRPr="000B2B8B">
        <w:t xml:space="preserve"> 26883473, Miroslav Patočka, dipl. tech.</w:t>
      </w:r>
    </w:p>
    <w:p w:rsidR="006B4B71" w:rsidRPr="000B2B8B" w:rsidRDefault="006B4B71" w:rsidP="006B4B71">
      <w:pPr>
        <w:pStyle w:val="Textnormy"/>
      </w:pPr>
      <w:r w:rsidRPr="000B2B8B">
        <w:t>Technická normalizační komise: TNK 91 Tlakové nádoby a</w:t>
      </w:r>
      <w:r>
        <w:t> </w:t>
      </w:r>
      <w:r w:rsidRPr="000B2B8B">
        <w:t>zařízení chemického průmyslu</w:t>
      </w:r>
    </w:p>
    <w:p w:rsidR="006B4B71" w:rsidRDefault="006B4B71" w:rsidP="006B4B71">
      <w:pPr>
        <w:pStyle w:val="Textnormy"/>
      </w:pPr>
      <w:r w:rsidRPr="000B2B8B">
        <w:t xml:space="preserve">Pracovník </w:t>
      </w:r>
      <w:r>
        <w:t>České agentury pro standardizaci</w:t>
      </w:r>
      <w:r w:rsidRPr="000B2B8B">
        <w:t>: Ing. Jan Jokeš</w:t>
      </w:r>
    </w:p>
    <w:p w:rsidR="006B4B71" w:rsidRDefault="006B4B71" w:rsidP="006B4B71">
      <w:pPr>
        <w:pStyle w:val="Textnormy"/>
      </w:pPr>
      <w:r w:rsidRPr="00F26445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6B4B71" w:rsidRPr="000B2B8B" w:rsidRDefault="006B4B71" w:rsidP="006B4B71">
      <w:pPr>
        <w:pStyle w:val="Textnormy"/>
      </w:pPr>
      <w:bookmarkStart w:id="0" w:name="_GoBack"/>
      <w:bookmarkEnd w:id="0"/>
    </w:p>
    <w:p w:rsidR="006B4B71" w:rsidRPr="000B2B8B" w:rsidRDefault="006B4B71" w:rsidP="006B4B71">
      <w:pPr>
        <w:pStyle w:val="EvropNorma"/>
      </w:pPr>
      <w:r w:rsidRPr="000B2B8B">
        <w:lastRenderedPageBreak/>
        <w:t>EVROPSKÁ NORMA</w:t>
      </w:r>
      <w:r w:rsidRPr="000B2B8B">
        <w:tab/>
        <w:t>EN 14197-3</w:t>
      </w:r>
      <w:r w:rsidRPr="000B2B8B">
        <w:br/>
        <w:t>EUROPEAN STANDARD</w:t>
      </w:r>
      <w:r w:rsidRPr="000B2B8B">
        <w:rPr>
          <w:b w:val="0"/>
          <w:sz w:val="20"/>
        </w:rPr>
        <w:br/>
      </w:r>
      <w:r w:rsidRPr="000B2B8B">
        <w:t>NORME EUROPÉENNE</w:t>
      </w:r>
      <w:r w:rsidRPr="000B2B8B">
        <w:br/>
        <w:t>EUROPÄISCHE NORM</w:t>
      </w:r>
      <w:r w:rsidRPr="000B2B8B">
        <w:tab/>
      </w:r>
      <w:r w:rsidRPr="000B2B8B">
        <w:rPr>
          <w:b w:val="0"/>
          <w:sz w:val="20"/>
        </w:rPr>
        <w:t>Březen 2004</w:t>
      </w:r>
    </w:p>
    <w:p w:rsidR="006B4B71" w:rsidRPr="000B2B8B" w:rsidRDefault="006B4B71" w:rsidP="006B4B71">
      <w:pPr>
        <w:pStyle w:val="ICS"/>
      </w:pPr>
      <w:r w:rsidRPr="000B2B8B">
        <w:t>ICS 23.020.40</w:t>
      </w:r>
      <w:r w:rsidRPr="000B2B8B">
        <w:tab/>
      </w:r>
    </w:p>
    <w:p w:rsidR="006B4B71" w:rsidRPr="000B2B8B" w:rsidRDefault="006B4B71" w:rsidP="006B4B71">
      <w:pPr>
        <w:pStyle w:val="NzNorCZ"/>
      </w:pPr>
      <w:r w:rsidRPr="000B2B8B">
        <w:t>Kryogenické nádoby</w:t>
      </w:r>
      <w:r>
        <w:t xml:space="preserve"> – </w:t>
      </w:r>
      <w:r w:rsidRPr="000B2B8B">
        <w:t>Stabilní nevakuově izolované nádoby –</w:t>
      </w:r>
      <w:r w:rsidRPr="000B2B8B">
        <w:br/>
        <w:t>Část 3: Provozní požadavky</w:t>
      </w:r>
    </w:p>
    <w:p w:rsidR="006B4B71" w:rsidRPr="000B2B8B" w:rsidRDefault="006B4B71" w:rsidP="006B4B71">
      <w:pPr>
        <w:pStyle w:val="NzNorUS"/>
      </w:pPr>
      <w:r w:rsidRPr="000B2B8B">
        <w:t>Cryogenic vessels</w:t>
      </w:r>
      <w:r>
        <w:t xml:space="preserve"> – </w:t>
      </w:r>
      <w:r w:rsidRPr="000B2B8B">
        <w:t>Static non-vacuum insulated vessels –</w:t>
      </w:r>
      <w:r w:rsidRPr="000B2B8B">
        <w:br/>
        <w:t>Part 3: Operational requirements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B4B71" w:rsidRPr="000B2B8B" w:rsidTr="00881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1" w:type="dxa"/>
          </w:tcPr>
          <w:p w:rsidR="006B4B71" w:rsidRPr="000B2B8B" w:rsidRDefault="006B4B71" w:rsidP="008817C5">
            <w:pPr>
              <w:pStyle w:val="NzNorFraGer"/>
            </w:pPr>
            <w:r w:rsidRPr="000B2B8B">
              <w:rPr>
                <w:lang w:val="fr-FR"/>
              </w:rPr>
              <w:t>Récipients cryogéniques</w:t>
            </w:r>
            <w:r>
              <w:rPr>
                <w:lang w:val="fr-FR"/>
              </w:rPr>
              <w:t xml:space="preserve"> – </w:t>
            </w:r>
            <w:r w:rsidRPr="000B2B8B">
              <w:rPr>
                <w:lang w:val="fr-FR"/>
              </w:rPr>
              <w:t>Récipients fixes non</w:t>
            </w:r>
            <w:r>
              <w:rPr>
                <w:lang w:val="fr-FR"/>
              </w:rPr>
              <w:t> </w:t>
            </w:r>
            <w:r w:rsidRPr="000B2B8B">
              <w:rPr>
                <w:lang w:val="fr-FR"/>
              </w:rPr>
              <w:t>isolés</w:t>
            </w:r>
            <w:r>
              <w:rPr>
                <w:lang w:val="fr-FR"/>
              </w:rPr>
              <w:t> </w:t>
            </w:r>
            <w:r w:rsidRPr="000B2B8B">
              <w:rPr>
                <w:lang w:val="fr-FR"/>
              </w:rPr>
              <w:t>sous vide –</w:t>
            </w:r>
            <w:r w:rsidRPr="000B2B8B">
              <w:rPr>
                <w:lang w:val="fr-FR"/>
              </w:rPr>
              <w:br/>
              <w:t>Partie 3: Exigences de service</w:t>
            </w:r>
          </w:p>
        </w:tc>
        <w:tc>
          <w:tcPr>
            <w:tcW w:w="4961" w:type="dxa"/>
          </w:tcPr>
          <w:p w:rsidR="006B4B71" w:rsidRPr="000B2B8B" w:rsidRDefault="006B4B71" w:rsidP="008817C5">
            <w:pPr>
              <w:pStyle w:val="NzNorFraGer"/>
            </w:pPr>
            <w:r w:rsidRPr="000B2B8B">
              <w:rPr>
                <w:lang w:val="de-DE"/>
              </w:rPr>
              <w:t>Kryo-Behälter</w:t>
            </w:r>
            <w:r>
              <w:rPr>
                <w:lang w:val="de-DE"/>
              </w:rPr>
              <w:t xml:space="preserve"> – </w:t>
            </w:r>
            <w:r w:rsidRPr="000B2B8B">
              <w:rPr>
                <w:lang w:val="de-DE"/>
              </w:rPr>
              <w:t>Ortsfeste nicht vakuum-isolierte</w:t>
            </w:r>
            <w:r>
              <w:rPr>
                <w:lang w:val="de-DE"/>
              </w:rPr>
              <w:br/>
            </w:r>
            <w:r w:rsidRPr="000B2B8B">
              <w:rPr>
                <w:lang w:val="de-DE"/>
              </w:rPr>
              <w:t>Kryo-Behälter –</w:t>
            </w:r>
            <w:r w:rsidRPr="000B2B8B">
              <w:rPr>
                <w:lang w:val="de-DE"/>
              </w:rPr>
              <w:br/>
              <w:t>Teil 3: Betriebsanforderungen</w:t>
            </w:r>
          </w:p>
        </w:tc>
      </w:tr>
    </w:tbl>
    <w:p w:rsidR="006B4B71" w:rsidRPr="000B2B8B" w:rsidRDefault="006B4B71" w:rsidP="006B4B71">
      <w:pPr>
        <w:pStyle w:val="Textnormy"/>
      </w:pPr>
      <w:r w:rsidRPr="000B2B8B">
        <w:t xml:space="preserve">Tato evropská norma byla schválena CEN </w:t>
      </w:r>
      <w:r>
        <w:t xml:space="preserve">dne </w:t>
      </w:r>
      <w:r w:rsidRPr="000B2B8B">
        <w:t>2003-08-01.</w:t>
      </w:r>
    </w:p>
    <w:p w:rsidR="006B4B71" w:rsidRPr="006B4B71" w:rsidRDefault="006B4B71" w:rsidP="006B4B71">
      <w:pPr>
        <w:pStyle w:val="Textnormy"/>
      </w:pPr>
      <w:r w:rsidRPr="006B4B71">
        <w:t>Členové CEN jsou povinni splnit vnitřní předpisy CEN/CENELEC, v nichž jsou stanoveny podmínky, za kt</w:t>
      </w:r>
      <w:r w:rsidRPr="006B4B71">
        <w:t>e</w:t>
      </w:r>
      <w:r w:rsidRPr="006B4B71">
        <w:t>rých se této evropské normě bez jakýchkoliv modifikací uděluje status národní normy. Aktualizované seznamy a bibliografické citace týkající se těchto národních norem lze obdržet na vyžádání v Řídicím centru CEN-CENELEC nebo u kteréhokoliv člena CEN.</w:t>
      </w:r>
    </w:p>
    <w:p w:rsidR="006B4B71" w:rsidRPr="006B4B71" w:rsidRDefault="006B4B71" w:rsidP="006B4B71">
      <w:pPr>
        <w:pStyle w:val="Textnormy"/>
      </w:pPr>
      <w:r w:rsidRPr="006B4B71">
        <w:t>Tato evropská norma existuje ve třech oficiálních verzích (anglické, francouzské, německé). Verze v každém jiném jazyce přeložená členem CEN do jeho vlastního jazyka, za kterou zodpovídá a kterou notifikuje Řídicímu centru CEN-CENELEC, má stejný status jako oficiální verze.</w:t>
      </w:r>
    </w:p>
    <w:p w:rsidR="006B4B71" w:rsidRPr="006B4B71" w:rsidRDefault="006B4B71" w:rsidP="006B4B71">
      <w:pPr>
        <w:pStyle w:val="Textnormy"/>
      </w:pPr>
      <w:r w:rsidRPr="006B4B71">
        <w:t>Členy CEN jsou národní normalizační orgány Belgie, Bulharska, Če</w:t>
      </w:r>
      <w:r w:rsidRPr="006B4B71">
        <w:t>s</w:t>
      </w:r>
      <w:r w:rsidRPr="006B4B71">
        <w:t>ké republiky, Dánska, Estonska, Finska, Francie, Chorvatska, Irska, Islandu, Itálie, Kypru, Litvy, Lotyšska, Lucembu</w:t>
      </w:r>
      <w:r w:rsidRPr="006B4B71">
        <w:t>r</w:t>
      </w:r>
      <w:r w:rsidRPr="006B4B71">
        <w:t xml:space="preserve">ska, Maďarska, Malty, Německa, </w:t>
      </w:r>
      <w:r>
        <w:br/>
      </w:r>
      <w:r w:rsidRPr="006B4B71">
        <w:t>Nizozemska, Norska, Polska, Portugalska, Rakouska, Republiky Severní Makedonie, Rumunska, Řecka, Slove</w:t>
      </w:r>
      <w:r w:rsidRPr="006B4B71">
        <w:t>n</w:t>
      </w:r>
      <w:r w:rsidRPr="006B4B71">
        <w:t>ska, Slovinska, Spojeného království, Srbska, Šp</w:t>
      </w:r>
      <w:r w:rsidRPr="006B4B71">
        <w:t>a</w:t>
      </w:r>
      <w:r w:rsidRPr="006B4B71">
        <w:t>nělska, Švédska, Švýcarska a Turecka.</w:t>
      </w:r>
    </w:p>
    <w:p w:rsidR="006B4B71" w:rsidRDefault="006B4B71" w:rsidP="006B4B71">
      <w:pPr>
        <w:pStyle w:val="Textnormy"/>
        <w:framePr w:hSpace="142" w:wrap="around" w:hAnchor="page" w:x="1022" w:yAlign="bottom"/>
        <w:spacing w:before="60" w:after="0"/>
        <w:jc w:val="center"/>
        <w:rPr>
          <w:b/>
          <w:sz w:val="24"/>
        </w:rPr>
      </w:pPr>
      <w:r>
        <w:t xml:space="preserve"> </w:t>
      </w:r>
      <w:r w:rsidRPr="00AA7CB9">
        <w:rPr>
          <w:noProof/>
        </w:rPr>
        <w:drawing>
          <wp:inline distT="0" distB="0" distL="0" distR="0">
            <wp:extent cx="1013460" cy="8077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4073" r="3304" b="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B4B71" w:rsidRDefault="006B4B71" w:rsidP="006B4B71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>
        <w:rPr>
          <w:b/>
        </w:rPr>
        <w:t>Evropský výbor pro normalizaci</w:t>
      </w:r>
    </w:p>
    <w:p w:rsidR="006B4B71" w:rsidRDefault="006B4B71" w:rsidP="006B4B71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European Committee for Standardization</w:t>
      </w:r>
    </w:p>
    <w:p w:rsidR="006B4B71" w:rsidRDefault="006B4B71" w:rsidP="006B4B71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Comité Européen de Normalisation</w:t>
      </w:r>
    </w:p>
    <w:p w:rsidR="006B4B71" w:rsidRDefault="006B4B71" w:rsidP="006B4B71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Europäisches Komitee für Normung</w:t>
      </w:r>
    </w:p>
    <w:p w:rsidR="006B4B71" w:rsidRDefault="006B4B71" w:rsidP="006B4B71">
      <w:pPr>
        <w:pStyle w:val="Textnormy"/>
        <w:framePr w:hSpace="142" w:wrap="around" w:hAnchor="page" w:x="1022" w:yAlign="bottom"/>
        <w:spacing w:before="120" w:after="240"/>
        <w:jc w:val="center"/>
        <w:rPr>
          <w:b/>
        </w:rPr>
      </w:pPr>
      <w:r>
        <w:rPr>
          <w:b/>
        </w:rPr>
        <w:t xml:space="preserve">Řídicí centrum CEN-CENELEC: </w:t>
      </w:r>
      <w:r w:rsidRPr="0096314A">
        <w:rPr>
          <w:rFonts w:cs="Arial"/>
          <w:b/>
          <w:color w:val="000000"/>
        </w:rPr>
        <w:t>Rue de la Science 23, B-1040 Brusel</w:t>
      </w:r>
    </w:p>
    <w:p w:rsidR="006B4B71" w:rsidRDefault="006B4B71" w:rsidP="006B4B71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120"/>
        <w:ind w:left="1418" w:hanging="1418"/>
        <w:rPr>
          <w:b/>
        </w:rPr>
      </w:pPr>
      <w:r>
        <w:sym w:font="Times New Roman" w:char="00A9"/>
      </w:r>
      <w:r>
        <w:t xml:space="preserve"> 2004 CEN</w:t>
      </w:r>
      <w:r>
        <w:tab/>
        <w:t xml:space="preserve">Veškerá práva pro využití v jakékoliv formě a jakýmikoliv prostředky </w:t>
      </w:r>
      <w:r>
        <w:tab/>
        <w:t>Ref. č. EN 14197-3:2004 E</w:t>
      </w:r>
      <w:r>
        <w:br/>
        <w:t>jsou celosvětově vyhrazena národním členům CEN.</w:t>
      </w:r>
    </w:p>
    <w:p w:rsidR="006B4B71" w:rsidRPr="000B2B8B" w:rsidRDefault="006B4B71" w:rsidP="006B4B71">
      <w:pPr>
        <w:pStyle w:val="Textnormy"/>
      </w:pPr>
    </w:p>
    <w:p w:rsidR="006B4B71" w:rsidRPr="000B2B8B" w:rsidRDefault="006B4B71" w:rsidP="006B4B71">
      <w:pPr>
        <w:pStyle w:val="Nadpiskapitoly"/>
        <w:pageBreakBefore/>
        <w:spacing w:before="0"/>
      </w:pPr>
      <w:bookmarkStart w:id="1" w:name="_Toc359251362"/>
      <w:bookmarkStart w:id="2" w:name="_Toc359251520"/>
      <w:bookmarkStart w:id="3" w:name="_Toc359251680"/>
      <w:bookmarkStart w:id="4" w:name="_Toc359251937"/>
      <w:bookmarkStart w:id="5" w:name="_Toc359252126"/>
      <w:bookmarkStart w:id="6" w:name="_Toc359252241"/>
      <w:bookmarkStart w:id="7" w:name="_Toc359252484"/>
      <w:bookmarkStart w:id="8" w:name="_Toc359252724"/>
      <w:bookmarkStart w:id="9" w:name="_Toc359252845"/>
      <w:bookmarkStart w:id="10" w:name="_Toc359252919"/>
      <w:bookmarkStart w:id="11" w:name="_Toc359283645"/>
      <w:bookmarkStart w:id="12" w:name="_Toc365965545"/>
      <w:bookmarkStart w:id="13" w:name="_Toc365967312"/>
      <w:bookmarkStart w:id="14" w:name="_Toc365968759"/>
      <w:bookmarkStart w:id="15" w:name="_Toc367082924"/>
      <w:bookmarkStart w:id="16" w:name="_Toc372429539"/>
      <w:bookmarkStart w:id="17" w:name="_Toc375302773"/>
      <w:bookmarkStart w:id="18" w:name="_Toc379098930"/>
      <w:r w:rsidRPr="000B2B8B">
        <w:lastRenderedPageBreak/>
        <w:t>Obsah</w:t>
      </w:r>
    </w:p>
    <w:p w:rsidR="006B4B71" w:rsidRPr="000B2B8B" w:rsidRDefault="006B4B71" w:rsidP="006B4B71">
      <w:pPr>
        <w:pStyle w:val="Textnormy"/>
        <w:jc w:val="right"/>
        <w:rPr>
          <w:sz w:val="18"/>
          <w:szCs w:val="18"/>
        </w:rPr>
      </w:pPr>
      <w:r w:rsidRPr="000B2B8B">
        <w:rPr>
          <w:sz w:val="18"/>
          <w:szCs w:val="18"/>
        </w:rPr>
        <w:t>Strana</w:t>
      </w:r>
    </w:p>
    <w:p w:rsidR="006B4B71" w:rsidRPr="000B2B8B" w:rsidRDefault="006B4B71" w:rsidP="006B4B71">
      <w:pPr>
        <w:pStyle w:val="Obsah1"/>
        <w:rPr>
          <w:rFonts w:cs="Arial"/>
          <w:szCs w:val="18"/>
        </w:rPr>
      </w:pPr>
      <w:r w:rsidRPr="000B2B8B">
        <w:rPr>
          <w:rFonts w:cs="Arial"/>
          <w:szCs w:val="18"/>
        </w:rPr>
        <w:fldChar w:fldCharType="begin"/>
      </w:r>
      <w:r w:rsidRPr="000B2B8B">
        <w:rPr>
          <w:rFonts w:cs="Arial"/>
          <w:szCs w:val="18"/>
        </w:rPr>
        <w:instrText xml:space="preserve"> TOC \o "1-3" </w:instrText>
      </w:r>
      <w:r w:rsidRPr="000B2B8B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t>Evropská p</w:t>
      </w:r>
      <w:r>
        <w:rPr>
          <w:rFonts w:cs="Arial"/>
          <w:szCs w:val="18"/>
        </w:rPr>
        <w:t>ředmluva</w:t>
      </w:r>
      <w:r>
        <w:rPr>
          <w:rFonts w:cs="Arial"/>
          <w:szCs w:val="18"/>
        </w:rPr>
        <w:tab/>
      </w:r>
      <w:r w:rsidRPr="000B2B8B">
        <w:rPr>
          <w:rFonts w:cs="Arial"/>
          <w:szCs w:val="18"/>
        </w:rPr>
        <w:fldChar w:fldCharType="begin"/>
      </w:r>
      <w:r w:rsidRPr="000B2B8B">
        <w:rPr>
          <w:rFonts w:cs="Arial"/>
          <w:szCs w:val="18"/>
        </w:rPr>
        <w:instrText xml:space="preserve"> PAGEREF _Toc113845649 \h </w:instrText>
      </w:r>
      <w:r w:rsidRPr="000B2B8B">
        <w:rPr>
          <w:rFonts w:cs="Arial"/>
          <w:szCs w:val="18"/>
        </w:rPr>
      </w:r>
      <w:r w:rsidRPr="000B2B8B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t>5</w:t>
      </w:r>
      <w:r w:rsidRPr="000B2B8B">
        <w:rPr>
          <w:rFonts w:cs="Arial"/>
          <w:szCs w:val="18"/>
        </w:rPr>
        <w:fldChar w:fldCharType="end"/>
      </w:r>
    </w:p>
    <w:p w:rsidR="006B4B71" w:rsidRPr="000B2B8B" w:rsidRDefault="006B4B71" w:rsidP="006B4B71">
      <w:pPr>
        <w:pStyle w:val="Obsah1"/>
        <w:rPr>
          <w:rFonts w:cs="Arial"/>
          <w:szCs w:val="18"/>
        </w:rPr>
      </w:pPr>
      <w:r w:rsidRPr="000B2B8B">
        <w:rPr>
          <w:rFonts w:cs="Arial"/>
          <w:b/>
          <w:szCs w:val="18"/>
        </w:rPr>
        <w:t>1</w:t>
      </w:r>
      <w:r w:rsidRPr="000B2B8B">
        <w:rPr>
          <w:rFonts w:cs="Arial"/>
          <w:szCs w:val="18"/>
        </w:rPr>
        <w:tab/>
      </w:r>
      <w:r>
        <w:rPr>
          <w:rFonts w:cs="Arial"/>
          <w:szCs w:val="18"/>
        </w:rPr>
        <w:t>Předmět normy</w:t>
      </w:r>
      <w:r>
        <w:rPr>
          <w:rFonts w:cs="Arial"/>
          <w:szCs w:val="18"/>
        </w:rPr>
        <w:tab/>
      </w:r>
      <w:r w:rsidRPr="000B2B8B">
        <w:rPr>
          <w:rFonts w:cs="Arial"/>
          <w:szCs w:val="18"/>
        </w:rPr>
        <w:fldChar w:fldCharType="begin"/>
      </w:r>
      <w:r w:rsidRPr="000B2B8B">
        <w:rPr>
          <w:rFonts w:cs="Arial"/>
          <w:szCs w:val="18"/>
        </w:rPr>
        <w:instrText xml:space="preserve"> PAGEREF _Toc113845650 \h </w:instrText>
      </w:r>
      <w:r w:rsidRPr="000B2B8B">
        <w:rPr>
          <w:rFonts w:cs="Arial"/>
          <w:szCs w:val="18"/>
        </w:rPr>
      </w:r>
      <w:r w:rsidRPr="000B2B8B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t>6</w:t>
      </w:r>
      <w:r w:rsidRPr="000B2B8B">
        <w:rPr>
          <w:rFonts w:cs="Arial"/>
          <w:szCs w:val="18"/>
        </w:rPr>
        <w:fldChar w:fldCharType="end"/>
      </w:r>
    </w:p>
    <w:p w:rsidR="006B4B71" w:rsidRPr="000B2B8B" w:rsidRDefault="006B4B71" w:rsidP="006B4B71">
      <w:pPr>
        <w:pStyle w:val="Obsah1"/>
        <w:rPr>
          <w:rFonts w:cs="Arial"/>
          <w:szCs w:val="18"/>
        </w:rPr>
      </w:pPr>
      <w:r w:rsidRPr="000B2B8B">
        <w:rPr>
          <w:rFonts w:cs="Arial"/>
          <w:b/>
          <w:szCs w:val="18"/>
        </w:rPr>
        <w:t>2</w:t>
      </w:r>
      <w:r>
        <w:rPr>
          <w:rFonts w:cs="Arial"/>
          <w:szCs w:val="18"/>
        </w:rPr>
        <w:tab/>
        <w:t>Citované dokumenty</w:t>
      </w:r>
      <w:r>
        <w:rPr>
          <w:rFonts w:cs="Arial"/>
          <w:szCs w:val="18"/>
        </w:rPr>
        <w:tab/>
      </w:r>
      <w:r w:rsidRPr="000B2B8B">
        <w:rPr>
          <w:rFonts w:cs="Arial"/>
          <w:szCs w:val="18"/>
        </w:rPr>
        <w:fldChar w:fldCharType="begin"/>
      </w:r>
      <w:r w:rsidRPr="000B2B8B">
        <w:rPr>
          <w:rFonts w:cs="Arial"/>
          <w:szCs w:val="18"/>
        </w:rPr>
        <w:instrText xml:space="preserve"> PAGEREF _Toc113845651 \h </w:instrText>
      </w:r>
      <w:r w:rsidRPr="000B2B8B">
        <w:rPr>
          <w:rFonts w:cs="Arial"/>
          <w:szCs w:val="18"/>
        </w:rPr>
      </w:r>
      <w:r w:rsidRPr="000B2B8B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t>6</w:t>
      </w:r>
      <w:r w:rsidRPr="000B2B8B">
        <w:rPr>
          <w:rFonts w:cs="Arial"/>
          <w:szCs w:val="18"/>
        </w:rPr>
        <w:fldChar w:fldCharType="end"/>
      </w:r>
    </w:p>
    <w:p w:rsidR="006B4B71" w:rsidRPr="000B2B8B" w:rsidRDefault="006B4B71" w:rsidP="006B4B71">
      <w:pPr>
        <w:pStyle w:val="Obsah1"/>
        <w:rPr>
          <w:rFonts w:cs="Arial"/>
          <w:szCs w:val="18"/>
        </w:rPr>
      </w:pPr>
      <w:r w:rsidRPr="000B2B8B">
        <w:rPr>
          <w:rFonts w:cs="Arial"/>
          <w:b/>
          <w:szCs w:val="18"/>
        </w:rPr>
        <w:t>3</w:t>
      </w:r>
      <w:r w:rsidRPr="000B2B8B">
        <w:rPr>
          <w:rFonts w:cs="Arial"/>
          <w:szCs w:val="18"/>
        </w:rPr>
        <w:tab/>
        <w:t>Termíny a def</w:t>
      </w:r>
      <w:r>
        <w:rPr>
          <w:rFonts w:cs="Arial"/>
          <w:szCs w:val="18"/>
        </w:rPr>
        <w:t>inice</w:t>
      </w:r>
      <w:r>
        <w:rPr>
          <w:rFonts w:cs="Arial"/>
          <w:szCs w:val="18"/>
        </w:rPr>
        <w:tab/>
      </w:r>
      <w:r w:rsidRPr="000B2B8B">
        <w:rPr>
          <w:rFonts w:cs="Arial"/>
          <w:szCs w:val="18"/>
        </w:rPr>
        <w:fldChar w:fldCharType="begin"/>
      </w:r>
      <w:r w:rsidRPr="000B2B8B">
        <w:rPr>
          <w:rFonts w:cs="Arial"/>
          <w:szCs w:val="18"/>
        </w:rPr>
        <w:instrText xml:space="preserve"> PAGEREF _Toc113845652 \h </w:instrText>
      </w:r>
      <w:r w:rsidRPr="000B2B8B">
        <w:rPr>
          <w:rFonts w:cs="Arial"/>
          <w:szCs w:val="18"/>
        </w:rPr>
      </w:r>
      <w:r w:rsidRPr="000B2B8B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t>6</w:t>
      </w:r>
      <w:r w:rsidRPr="000B2B8B">
        <w:rPr>
          <w:rFonts w:cs="Arial"/>
          <w:szCs w:val="18"/>
        </w:rPr>
        <w:fldChar w:fldCharType="end"/>
      </w:r>
    </w:p>
    <w:p w:rsidR="006B4B71" w:rsidRPr="000B2B8B" w:rsidRDefault="006B4B71" w:rsidP="006B4B71">
      <w:pPr>
        <w:pStyle w:val="Nadpiskapitoly"/>
        <w:pageBreakBefore/>
        <w:spacing w:before="0"/>
      </w:pPr>
      <w:r w:rsidRPr="000B2B8B">
        <w:rPr>
          <w:rFonts w:cs="Arial"/>
          <w:sz w:val="18"/>
          <w:szCs w:val="18"/>
        </w:rPr>
        <w:lastRenderedPageBreak/>
        <w:fldChar w:fldCharType="end"/>
      </w:r>
      <w:bookmarkStart w:id="19" w:name="_Toc38252388"/>
      <w:bookmarkStart w:id="20" w:name="_Toc69712044"/>
      <w:bookmarkStart w:id="21" w:name="_Toc1138456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B5E9D">
        <w:rPr>
          <w:rFonts w:cs="Arial"/>
          <w:szCs w:val="24"/>
        </w:rPr>
        <w:t>E</w:t>
      </w:r>
      <w:r>
        <w:rPr>
          <w:rFonts w:cs="Arial"/>
          <w:szCs w:val="24"/>
        </w:rPr>
        <w:t>vropská p</w:t>
      </w:r>
      <w:r w:rsidRPr="000B2B8B">
        <w:t>ředmluva</w:t>
      </w:r>
      <w:bookmarkEnd w:id="19"/>
      <w:bookmarkEnd w:id="20"/>
      <w:bookmarkEnd w:id="21"/>
    </w:p>
    <w:p w:rsidR="006B4B71" w:rsidRPr="000B2B8B" w:rsidRDefault="006B4B71" w:rsidP="006B4B71">
      <w:pPr>
        <w:pStyle w:val="Textnormy"/>
      </w:pPr>
      <w:r>
        <w:t>Tento dokument (EN </w:t>
      </w:r>
      <w:r w:rsidRPr="000B2B8B">
        <w:t xml:space="preserve">14197-3:2004) </w:t>
      </w:r>
      <w:r>
        <w:t>vypracovala</w:t>
      </w:r>
      <w:r w:rsidRPr="000B2B8B">
        <w:t xml:space="preserve"> technick</w:t>
      </w:r>
      <w:r>
        <w:t>á</w:t>
      </w:r>
      <w:r w:rsidRPr="000B2B8B">
        <w:t xml:space="preserve"> komis</w:t>
      </w:r>
      <w:r>
        <w:t>e</w:t>
      </w:r>
      <w:r w:rsidRPr="000B2B8B">
        <w:t xml:space="preserve"> CEN/TC</w:t>
      </w:r>
      <w:r>
        <w:t> </w:t>
      </w:r>
      <w:r w:rsidRPr="000B2B8B">
        <w:t xml:space="preserve">268 </w:t>
      </w:r>
      <w:r w:rsidRPr="000059B8">
        <w:rPr>
          <w:i/>
        </w:rPr>
        <w:t>Kryogenické nádoby</w:t>
      </w:r>
      <w:r w:rsidRPr="000B2B8B">
        <w:t xml:space="preserve">, jejíž </w:t>
      </w:r>
      <w:r>
        <w:br/>
      </w:r>
      <w:r w:rsidRPr="000B2B8B">
        <w:t>s</w:t>
      </w:r>
      <w:r w:rsidRPr="000B2B8B">
        <w:t>e</w:t>
      </w:r>
      <w:r w:rsidRPr="000B2B8B">
        <w:t>kretariát zajišťuje AFNOR.</w:t>
      </w:r>
    </w:p>
    <w:p w:rsidR="006B4B71" w:rsidRDefault="006B4B71" w:rsidP="006B4B71">
      <w:pPr>
        <w:pStyle w:val="Textnormy"/>
      </w:pPr>
      <w:r w:rsidRPr="00B97DF6">
        <w:rPr>
          <w:spacing w:val="-2"/>
        </w:rPr>
        <w:t>Této evropské normě je nutno nejpozději do září 2004 udělit status národní normy, a to buď vydáním identick</w:t>
      </w:r>
      <w:r w:rsidRPr="00B97DF6">
        <w:rPr>
          <w:spacing w:val="-2"/>
        </w:rPr>
        <w:t>é</w:t>
      </w:r>
      <w:r w:rsidRPr="00B97DF6">
        <w:rPr>
          <w:spacing w:val="-2"/>
        </w:rPr>
        <w:t>ho</w:t>
      </w:r>
      <w:r w:rsidRPr="000B2B8B">
        <w:t xml:space="preserve"> </w:t>
      </w:r>
      <w:r w:rsidRPr="00D41274">
        <w:rPr>
          <w:spacing w:val="-2"/>
        </w:rPr>
        <w:t>textu, nebo schválením k přímému používání, a národní normy, které jsou s ní v rozporu, je nutno zrušit ne</w:t>
      </w:r>
      <w:r w:rsidRPr="00D41274">
        <w:rPr>
          <w:spacing w:val="-2"/>
        </w:rPr>
        <w:t>j</w:t>
      </w:r>
      <w:r w:rsidRPr="00D41274">
        <w:rPr>
          <w:spacing w:val="-2"/>
        </w:rPr>
        <w:t>později</w:t>
      </w:r>
      <w:r w:rsidRPr="000B2B8B">
        <w:t xml:space="preserve"> do září</w:t>
      </w:r>
      <w:r>
        <w:t> </w:t>
      </w:r>
      <w:r w:rsidRPr="000B2B8B">
        <w:t>2004.</w:t>
      </w:r>
    </w:p>
    <w:p w:rsidR="006B4B71" w:rsidRPr="000B2B8B" w:rsidRDefault="006B4B71" w:rsidP="006B4B71">
      <w:pPr>
        <w:pStyle w:val="Textnormy"/>
      </w:pPr>
      <w:r w:rsidRPr="003F5973">
        <w:t xml:space="preserve">Upozorňuje se na možnost, že některé prvky tohoto dokumentu mohou být předmětem patentových práv. CEN nelze činit odpovědným za identifikaci </w:t>
      </w:r>
      <w:r>
        <w:t>jakéhokoliv nebo</w:t>
      </w:r>
      <w:r w:rsidRPr="003F5973">
        <w:t xml:space="preserve"> všech patent</w:t>
      </w:r>
      <w:r w:rsidRPr="003F5973">
        <w:t>o</w:t>
      </w:r>
      <w:r w:rsidRPr="003F5973">
        <w:t>vých práv.</w:t>
      </w:r>
    </w:p>
    <w:p w:rsidR="006B4B71" w:rsidRPr="000B2B8B" w:rsidRDefault="006B4B71" w:rsidP="006B4B71">
      <w:pPr>
        <w:pStyle w:val="Textnormy"/>
        <w:keepNext/>
        <w:spacing w:before="240"/>
      </w:pPr>
      <w:r w:rsidRPr="00D41274">
        <w:rPr>
          <w:spacing w:val="-2"/>
        </w:rPr>
        <w:t>EN 14197</w:t>
      </w:r>
      <w:r w:rsidRPr="00D41274">
        <w:rPr>
          <w:rFonts w:ascii="Arial Unicode MS" w:eastAsia="Arial Unicode MS" w:hAnsi="Arial Unicode MS" w:cs="Arial Unicode MS" w:hint="eastAsia"/>
          <w:spacing w:val="-2"/>
        </w:rPr>
        <w:t> </w:t>
      </w:r>
      <w:r w:rsidRPr="00D41274">
        <w:rPr>
          <w:spacing w:val="-2"/>
        </w:rPr>
        <w:t xml:space="preserve">se společným názvem </w:t>
      </w:r>
      <w:r w:rsidRPr="00D41274">
        <w:rPr>
          <w:i/>
          <w:spacing w:val="-2"/>
        </w:rPr>
        <w:t>Kryogenické nádoby – Stabilní nevakuově izolované nádoby</w:t>
      </w:r>
      <w:r w:rsidRPr="00D41274">
        <w:rPr>
          <w:spacing w:val="-2"/>
        </w:rPr>
        <w:t xml:space="preserve"> sestává z těchto</w:t>
      </w:r>
      <w:r>
        <w:t xml:space="preserve"> samostatných částí:</w:t>
      </w:r>
    </w:p>
    <w:p w:rsidR="006B4B71" w:rsidRPr="00100CEE" w:rsidRDefault="006B4B71" w:rsidP="006B4B71">
      <w:pPr>
        <w:pStyle w:val="Seznamvnorm"/>
        <w:numPr>
          <w:ilvl w:val="0"/>
          <w:numId w:val="6"/>
        </w:numPr>
        <w:tabs>
          <w:tab w:val="clear" w:pos="360"/>
        </w:tabs>
        <w:ind w:left="284" w:hanging="284"/>
        <w:rPr>
          <w:i/>
          <w:iCs/>
        </w:rPr>
      </w:pPr>
      <w:r w:rsidRPr="00100CEE">
        <w:rPr>
          <w:i/>
          <w:iCs/>
        </w:rPr>
        <w:t>Část 1: Základní požadavky</w:t>
      </w:r>
    </w:p>
    <w:p w:rsidR="006B4B71" w:rsidRPr="00100CEE" w:rsidRDefault="006B4B71" w:rsidP="006B4B71">
      <w:pPr>
        <w:pStyle w:val="Seznamvnorm"/>
        <w:numPr>
          <w:ilvl w:val="0"/>
          <w:numId w:val="6"/>
        </w:numPr>
        <w:tabs>
          <w:tab w:val="clear" w:pos="360"/>
        </w:tabs>
        <w:ind w:left="284" w:hanging="284"/>
        <w:rPr>
          <w:i/>
          <w:iCs/>
        </w:rPr>
      </w:pPr>
      <w:r w:rsidRPr="00100CEE">
        <w:rPr>
          <w:i/>
          <w:iCs/>
        </w:rPr>
        <w:t>Část 2: Konstrukce, výroba, kontrola a zkoušení</w:t>
      </w:r>
    </w:p>
    <w:p w:rsidR="006B4B71" w:rsidRPr="000B2B8B" w:rsidRDefault="006B4B71" w:rsidP="006B4B71">
      <w:pPr>
        <w:pStyle w:val="Seznamvnorm"/>
        <w:numPr>
          <w:ilvl w:val="0"/>
          <w:numId w:val="6"/>
        </w:numPr>
        <w:tabs>
          <w:tab w:val="clear" w:pos="360"/>
        </w:tabs>
        <w:ind w:left="284" w:hanging="284"/>
      </w:pPr>
      <w:r w:rsidRPr="00100CEE">
        <w:rPr>
          <w:i/>
          <w:iCs/>
        </w:rPr>
        <w:t>Část 3: Provozní požadavky</w:t>
      </w:r>
    </w:p>
    <w:p w:rsidR="006B4B71" w:rsidRPr="007C4A20" w:rsidRDefault="006B4B71" w:rsidP="006B4B71">
      <w:pPr>
        <w:pStyle w:val="Textnormy"/>
      </w:pPr>
      <w:r w:rsidRPr="007C4A20">
        <w:rPr>
          <w:rFonts w:cs="Arial"/>
          <w:color w:val="000000"/>
        </w:rPr>
        <w:t>Jakákoli zpětná vazba a otázky týkající se tohoto dokumentu mají být adresovány národnímu normalizačnímu orgánu uživatele. Úplný seznam těchto orgánů lze nalézt na webových stránkách CEN.</w:t>
      </w:r>
    </w:p>
    <w:p w:rsidR="006B4B71" w:rsidRPr="006B4B71" w:rsidRDefault="006B4B71" w:rsidP="006B4B71">
      <w:pPr>
        <w:pStyle w:val="Textnormy"/>
      </w:pPr>
      <w:r w:rsidRPr="006B4B71">
        <w:t>Podle vnitřních předpisů CEN-CENELEC jsou tuto evropskou normu povinny zavést národní normalizační org</w:t>
      </w:r>
      <w:r w:rsidRPr="006B4B71">
        <w:t>a</w:t>
      </w:r>
      <w:r w:rsidRPr="006B4B71">
        <w:t>nizace následujících zemí: Belgie, Bulharska, České republiky, Dánska, Esto</w:t>
      </w:r>
      <w:r w:rsidRPr="006B4B71">
        <w:t>n</w:t>
      </w:r>
      <w:r w:rsidRPr="006B4B71">
        <w:t>ska, Finska, Francie, Chorvatska, Irska, Islandu, Itálie, Kypru, Litvy, Lotyšska, Lucemburska, Maďarska, Malty, N</w:t>
      </w:r>
      <w:r w:rsidRPr="006B4B71">
        <w:t>ě</w:t>
      </w:r>
      <w:r w:rsidRPr="006B4B71">
        <w:t>mecka, Nizozemska, Norska, Polska, Portugalska, Rakouska, Republiky Severní Makedonie, Rumunska, Řecka, Slovenska, Slovinska, Spojeného království, Srbska, Šp</w:t>
      </w:r>
      <w:r w:rsidRPr="006B4B71">
        <w:t>a</w:t>
      </w:r>
      <w:r w:rsidRPr="006B4B71">
        <w:t>nělska, Švédska, Švýcarska a Turecka.</w:t>
      </w:r>
    </w:p>
    <w:p w:rsidR="006B4B71" w:rsidRPr="000B2B8B" w:rsidRDefault="006B4B71" w:rsidP="006B4B71">
      <w:pPr>
        <w:pStyle w:val="Nadpis1"/>
        <w:pageBreakBefore/>
        <w:spacing w:before="0"/>
      </w:pPr>
      <w:bookmarkStart w:id="22" w:name="_Toc359251363"/>
      <w:bookmarkStart w:id="23" w:name="_Toc359251521"/>
      <w:bookmarkStart w:id="24" w:name="_Toc359251681"/>
      <w:bookmarkStart w:id="25" w:name="_Toc359251938"/>
      <w:bookmarkStart w:id="26" w:name="_Toc359252127"/>
      <w:bookmarkStart w:id="27" w:name="_Toc359252242"/>
      <w:bookmarkStart w:id="28" w:name="_Toc359252485"/>
      <w:bookmarkStart w:id="29" w:name="_Toc359252725"/>
      <w:bookmarkStart w:id="30" w:name="_Toc359252846"/>
      <w:bookmarkStart w:id="31" w:name="_Toc359252920"/>
      <w:bookmarkStart w:id="32" w:name="_Toc359283646"/>
      <w:bookmarkStart w:id="33" w:name="_Toc365965546"/>
      <w:bookmarkStart w:id="34" w:name="_Toc365967313"/>
      <w:bookmarkStart w:id="35" w:name="_Toc365968760"/>
      <w:bookmarkStart w:id="36" w:name="_Toc367082925"/>
      <w:bookmarkStart w:id="37" w:name="_Toc372429540"/>
      <w:bookmarkStart w:id="38" w:name="_Toc375302774"/>
      <w:bookmarkStart w:id="39" w:name="_Toc379098931"/>
      <w:bookmarkStart w:id="40" w:name="_Toc380735104"/>
      <w:bookmarkStart w:id="41" w:name="_Toc380735204"/>
      <w:bookmarkStart w:id="42" w:name="_Toc380825388"/>
      <w:bookmarkStart w:id="43" w:name="_Toc380827277"/>
      <w:bookmarkStart w:id="44" w:name="_Toc380886223"/>
      <w:bookmarkStart w:id="45" w:name="_Toc380886261"/>
      <w:bookmarkStart w:id="46" w:name="_Toc380886371"/>
      <w:bookmarkStart w:id="47" w:name="_Toc380886468"/>
      <w:bookmarkStart w:id="48" w:name="_Toc4487159"/>
      <w:bookmarkStart w:id="49" w:name="_Toc38252390"/>
      <w:bookmarkStart w:id="50" w:name="_Toc69712045"/>
      <w:bookmarkStart w:id="51" w:name="_Toc113845650"/>
      <w:r w:rsidRPr="000B2B8B">
        <w:lastRenderedPageBreak/>
        <w:t>1</w:t>
      </w:r>
      <w:r w:rsidRPr="000B2B8B">
        <w:rPr>
          <w:rFonts w:ascii="Arial Unicode MS" w:eastAsia="Arial Unicode MS" w:hAnsi="Arial Unicode MS" w:cs="Arial Unicode MS" w:hint="eastAsia"/>
        </w:rPr>
        <w:t> </w:t>
      </w:r>
      <w:r w:rsidRPr="000B2B8B">
        <w:t>Předmět normy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6B4B71" w:rsidRPr="000B2B8B" w:rsidRDefault="006B4B71" w:rsidP="006B4B71">
      <w:pPr>
        <w:pStyle w:val="Textnormy"/>
      </w:pPr>
      <w:bookmarkStart w:id="52" w:name="_Toc359251364"/>
      <w:bookmarkStart w:id="53" w:name="_Toc359251522"/>
      <w:bookmarkStart w:id="54" w:name="_Toc359251682"/>
      <w:bookmarkStart w:id="55" w:name="_Toc359251939"/>
      <w:bookmarkStart w:id="56" w:name="_Toc359252128"/>
      <w:bookmarkStart w:id="57" w:name="_Toc359252243"/>
      <w:bookmarkStart w:id="58" w:name="_Toc359252486"/>
      <w:bookmarkStart w:id="59" w:name="_Toc359252726"/>
      <w:bookmarkStart w:id="60" w:name="_Toc359252847"/>
      <w:bookmarkStart w:id="61" w:name="_Toc359252921"/>
      <w:bookmarkStart w:id="62" w:name="_Toc359283647"/>
      <w:bookmarkStart w:id="63" w:name="_Toc365965547"/>
      <w:bookmarkStart w:id="64" w:name="_Toc365967314"/>
      <w:bookmarkStart w:id="65" w:name="_Toc365968761"/>
      <w:bookmarkStart w:id="66" w:name="_Toc367082926"/>
      <w:bookmarkStart w:id="67" w:name="_Toc372429541"/>
      <w:bookmarkStart w:id="68" w:name="_Toc375302775"/>
      <w:bookmarkStart w:id="69" w:name="_Toc379098932"/>
      <w:bookmarkStart w:id="70" w:name="_Toc380735105"/>
      <w:bookmarkStart w:id="71" w:name="_Toc380735205"/>
      <w:bookmarkStart w:id="72" w:name="_Toc380825389"/>
      <w:bookmarkStart w:id="73" w:name="_Toc380827278"/>
      <w:bookmarkStart w:id="74" w:name="_Toc380886224"/>
      <w:bookmarkStart w:id="75" w:name="_Toc380886262"/>
      <w:bookmarkStart w:id="76" w:name="_Toc380886372"/>
      <w:bookmarkStart w:id="77" w:name="_Toc380886469"/>
      <w:bookmarkStart w:id="78" w:name="_Toc4487160"/>
      <w:bookmarkStart w:id="79" w:name="_Toc512319378"/>
      <w:r w:rsidRPr="000B2B8B">
        <w:t>Tato evropská norma stanoví požadavky na provoz stabilních nevakuově izolovaných nádob pro kryog</w:t>
      </w:r>
      <w:r w:rsidRPr="000B2B8B">
        <w:t>e</w:t>
      </w:r>
      <w:r w:rsidRPr="000B2B8B">
        <w:t xml:space="preserve">nické tekutiny podle EN 14197-1, konstruovaných pro nejvyšší dovolený tlak větší než 0,5 bar. Rovněž může být </w:t>
      </w:r>
      <w:r>
        <w:br/>
      </w:r>
      <w:r w:rsidRPr="000B2B8B">
        <w:t>použita jako návod pro nádoby ko</w:t>
      </w:r>
      <w:r w:rsidRPr="000B2B8B">
        <w:t>n</w:t>
      </w:r>
      <w:r w:rsidRPr="000B2B8B">
        <w:t>struované pro nejvyšší dovolený tlak menší než 0,5 bar.</w:t>
      </w:r>
      <w:bookmarkEnd w:id="79"/>
    </w:p>
    <w:p w:rsidR="006B4B71" w:rsidRPr="000B2B8B" w:rsidRDefault="006B4B71" w:rsidP="006B4B71">
      <w:pPr>
        <w:pStyle w:val="Textnormy"/>
      </w:pPr>
      <w:r w:rsidRPr="000B2B8B">
        <w:t>Předmět normy zahrnuje instalování, uvádění do provozu, kontrolu plnění, údržbu a</w:t>
      </w:r>
      <w:r>
        <w:t> </w:t>
      </w:r>
      <w:r w:rsidRPr="000B2B8B">
        <w:t>postupy v</w:t>
      </w:r>
      <w:r>
        <w:t> </w:t>
      </w:r>
      <w:r w:rsidRPr="000B2B8B">
        <w:t>nouzové situ</w:t>
      </w:r>
      <w:r w:rsidRPr="000B2B8B">
        <w:t>a</w:t>
      </w:r>
      <w:r w:rsidRPr="000B2B8B">
        <w:t>ci.</w:t>
      </w:r>
    </w:p>
    <w:p w:rsidR="006B4B71" w:rsidRPr="000B2B8B" w:rsidRDefault="006B4B71" w:rsidP="006B4B71">
      <w:pPr>
        <w:pStyle w:val="Textnormy"/>
      </w:pPr>
      <w:bookmarkStart w:id="80" w:name="_Toc512319379"/>
      <w:r w:rsidRPr="000B2B8B">
        <w:t>Tato část normy platí pro nádoby konstruované pro kryogenické tekutiny specifikované v</w:t>
      </w:r>
      <w:r>
        <w:t> </w:t>
      </w:r>
      <w:r w:rsidRPr="000B2B8B">
        <w:t>EN 14197-1.</w:t>
      </w:r>
      <w:bookmarkEnd w:id="80"/>
    </w:p>
    <w:p w:rsidR="006B4B71" w:rsidRPr="000B2B8B" w:rsidRDefault="006B4B71" w:rsidP="006B4B71">
      <w:pPr>
        <w:pStyle w:val="Nadpis1"/>
      </w:pPr>
      <w:bookmarkStart w:id="81" w:name="_Toc38252391"/>
      <w:bookmarkStart w:id="82" w:name="_Toc69712046"/>
      <w:bookmarkStart w:id="83" w:name="_Toc113845651"/>
      <w:r w:rsidRPr="000B2B8B">
        <w:t>2</w:t>
      </w:r>
      <w:r w:rsidRPr="000B2B8B">
        <w:rPr>
          <w:rFonts w:ascii="Arial Unicode MS" w:eastAsia="Arial Unicode MS" w:hAnsi="Arial Unicode MS" w:cs="Arial Unicode MS" w:hint="eastAsia"/>
        </w:rPr>
        <w:t> 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81"/>
      <w:bookmarkEnd w:id="82"/>
      <w:bookmarkEnd w:id="83"/>
      <w:r w:rsidRPr="000B2B8B">
        <w:t>Citované dokumenty</w:t>
      </w:r>
    </w:p>
    <w:p w:rsidR="006B4B71" w:rsidRPr="000B2B8B" w:rsidRDefault="006B4B71" w:rsidP="006B4B71">
      <w:pPr>
        <w:pStyle w:val="Textnormy"/>
      </w:pPr>
      <w:r w:rsidRPr="003268E7">
        <w:rPr>
          <w:rFonts w:cs="Arial"/>
        </w:rPr>
        <w:t>Na dále uvedené dokumenty se v textu odkazuje takovým způsobem, že celý jejich obsah nebo jeho část představují požadavky tohoto dokumentu. U datovaných citovaných dokumentů se používají pouze datované citované dokumenty. U nedatovaných citovaných dokumentů se používá pouze nejnovější vydání citovaného dokumentu (včetně všech změn).</w:t>
      </w:r>
    </w:p>
    <w:p w:rsidR="006B4B71" w:rsidRPr="000B2B8B" w:rsidRDefault="006B4B71" w:rsidP="006B4B71">
      <w:pPr>
        <w:pStyle w:val="TextnormyUS"/>
        <w:rPr>
          <w:lang w:val="en-US"/>
        </w:rPr>
      </w:pPr>
      <w:r>
        <w:rPr>
          <w:lang w:val="en-US"/>
        </w:rPr>
        <w:t>EN </w:t>
      </w:r>
      <w:r w:rsidRPr="000B2B8B">
        <w:rPr>
          <w:lang w:val="en-US"/>
        </w:rPr>
        <w:t>12300</w:t>
      </w:r>
      <w:r w:rsidRPr="000B2B8B">
        <w:rPr>
          <w:rFonts w:ascii="Arial Unicode MS" w:eastAsia="Arial Unicode MS" w:hAnsi="Arial Unicode MS" w:cs="Arial Unicode MS"/>
          <w:lang w:val="en-US"/>
        </w:rPr>
        <w:t> </w:t>
      </w:r>
      <w:r w:rsidRPr="000B2B8B">
        <w:rPr>
          <w:lang w:val="en-US"/>
        </w:rPr>
        <w:t>Cryogenic vessels</w:t>
      </w:r>
      <w:r>
        <w:rPr>
          <w:lang w:val="en-US"/>
        </w:rPr>
        <w:t xml:space="preserve"> – </w:t>
      </w:r>
      <w:r w:rsidRPr="000B2B8B">
        <w:rPr>
          <w:lang w:val="en-US"/>
        </w:rPr>
        <w:t>Cleanliness for cryogenic service</w:t>
      </w:r>
    </w:p>
    <w:p w:rsidR="006B4B71" w:rsidRPr="000B2B8B" w:rsidRDefault="006B4B71" w:rsidP="006B4B71">
      <w:pPr>
        <w:pStyle w:val="Textnormy"/>
        <w:rPr>
          <w:i/>
        </w:rPr>
      </w:pPr>
      <w:r w:rsidRPr="000B2B8B">
        <w:rPr>
          <w:i/>
        </w:rPr>
        <w:t>(Kryogenické nádoby</w:t>
      </w:r>
      <w:r>
        <w:rPr>
          <w:i/>
        </w:rPr>
        <w:t xml:space="preserve"> – </w:t>
      </w:r>
      <w:r w:rsidRPr="000B2B8B">
        <w:rPr>
          <w:i/>
        </w:rPr>
        <w:t>Provozní čistota při nízkých teplotách)</w:t>
      </w:r>
    </w:p>
    <w:p w:rsidR="006B4B71" w:rsidRPr="000B2B8B" w:rsidRDefault="006B4B71" w:rsidP="006B4B71">
      <w:pPr>
        <w:pStyle w:val="TextnormyUS"/>
        <w:rPr>
          <w:spacing w:val="-2"/>
        </w:rPr>
      </w:pPr>
      <w:r>
        <w:rPr>
          <w:spacing w:val="-2"/>
        </w:rPr>
        <w:t>EN </w:t>
      </w:r>
      <w:r w:rsidRPr="000B2B8B">
        <w:rPr>
          <w:spacing w:val="-2"/>
        </w:rPr>
        <w:t>14197-1:2003</w:t>
      </w:r>
      <w:r w:rsidRPr="000B2B8B">
        <w:rPr>
          <w:rFonts w:ascii="Arial Unicode MS" w:eastAsia="Arial Unicode MS" w:hAnsi="Arial Unicode MS" w:cs="Arial Unicode MS"/>
          <w:spacing w:val="-2"/>
          <w:lang w:val="en-US"/>
        </w:rPr>
        <w:t> </w:t>
      </w:r>
      <w:r w:rsidRPr="000B2B8B">
        <w:rPr>
          <w:spacing w:val="-2"/>
        </w:rPr>
        <w:t>Cryogenic vessels – Static non-vacuum insulated vessels – Part</w:t>
      </w:r>
      <w:r>
        <w:rPr>
          <w:spacing w:val="-2"/>
        </w:rPr>
        <w:t> </w:t>
      </w:r>
      <w:r w:rsidRPr="000B2B8B">
        <w:rPr>
          <w:spacing w:val="-2"/>
        </w:rPr>
        <w:t>1: Fundamental requirements</w:t>
      </w:r>
    </w:p>
    <w:p w:rsidR="006B4B71" w:rsidRPr="000B2B8B" w:rsidRDefault="006B4B71" w:rsidP="006B4B71">
      <w:pPr>
        <w:pStyle w:val="Textnormy"/>
        <w:rPr>
          <w:i/>
        </w:rPr>
      </w:pPr>
      <w:r w:rsidRPr="000B2B8B">
        <w:rPr>
          <w:i/>
        </w:rPr>
        <w:t>(Kryogenické nádoby</w:t>
      </w:r>
      <w:r>
        <w:rPr>
          <w:i/>
        </w:rPr>
        <w:t xml:space="preserve"> – </w:t>
      </w:r>
      <w:r w:rsidRPr="000B2B8B">
        <w:rPr>
          <w:i/>
        </w:rPr>
        <w:t>Stabilní nevakuově izolované nádoby</w:t>
      </w:r>
      <w:r>
        <w:rPr>
          <w:i/>
        </w:rPr>
        <w:t xml:space="preserve"> – </w:t>
      </w:r>
      <w:r w:rsidRPr="000B2B8B">
        <w:rPr>
          <w:i/>
        </w:rPr>
        <w:t>Část</w:t>
      </w:r>
      <w:r>
        <w:rPr>
          <w:i/>
        </w:rPr>
        <w:t> </w:t>
      </w:r>
      <w:r w:rsidRPr="000B2B8B">
        <w:rPr>
          <w:i/>
        </w:rPr>
        <w:t>1: Základní požadavky)</w:t>
      </w:r>
    </w:p>
    <w:p w:rsidR="006B4B71" w:rsidRPr="000B2B8B" w:rsidRDefault="006B4B71" w:rsidP="006B4B71">
      <w:pPr>
        <w:pStyle w:val="TextnormyUS"/>
        <w:rPr>
          <w:lang w:val="en-US"/>
        </w:rPr>
      </w:pPr>
      <w:r>
        <w:rPr>
          <w:lang w:val="en-US"/>
        </w:rPr>
        <w:t>EN </w:t>
      </w:r>
      <w:r w:rsidRPr="000B2B8B">
        <w:rPr>
          <w:lang w:val="en-US"/>
        </w:rPr>
        <w:t>14197-2</w:t>
      </w:r>
      <w:r w:rsidRPr="000B2B8B">
        <w:rPr>
          <w:rFonts w:ascii="Arial Unicode MS" w:eastAsia="Arial Unicode MS" w:hAnsi="Arial Unicode MS" w:cs="Arial Unicode MS"/>
          <w:lang w:val="en-US"/>
        </w:rPr>
        <w:t> </w:t>
      </w:r>
      <w:r w:rsidRPr="000B2B8B">
        <w:rPr>
          <w:lang w:val="en-US"/>
        </w:rPr>
        <w:t>Cryogenic vessels</w:t>
      </w:r>
      <w:r>
        <w:rPr>
          <w:lang w:val="en-US"/>
        </w:rPr>
        <w:t xml:space="preserve"> – </w:t>
      </w:r>
      <w:r w:rsidRPr="000B2B8B">
        <w:rPr>
          <w:lang w:val="en-US"/>
        </w:rPr>
        <w:t>Static non-vacuum insulated vessels</w:t>
      </w:r>
      <w:r>
        <w:rPr>
          <w:lang w:val="en-US"/>
        </w:rPr>
        <w:t xml:space="preserve"> – </w:t>
      </w:r>
      <w:r w:rsidRPr="000B2B8B">
        <w:rPr>
          <w:lang w:val="en-US"/>
        </w:rPr>
        <w:t>Part</w:t>
      </w:r>
      <w:r>
        <w:rPr>
          <w:lang w:val="en-US"/>
        </w:rPr>
        <w:t> </w:t>
      </w:r>
      <w:r w:rsidRPr="000B2B8B">
        <w:rPr>
          <w:lang w:val="en-US"/>
        </w:rPr>
        <w:t>2: Design, fabrication, inspection and testing</w:t>
      </w:r>
    </w:p>
    <w:p w:rsidR="006B4B71" w:rsidRPr="000B2B8B" w:rsidRDefault="006B4B71" w:rsidP="006B4B71">
      <w:pPr>
        <w:pStyle w:val="Textnormy"/>
        <w:rPr>
          <w:i/>
          <w:spacing w:val="-2"/>
        </w:rPr>
      </w:pPr>
      <w:r w:rsidRPr="000B2B8B">
        <w:rPr>
          <w:i/>
          <w:spacing w:val="-2"/>
        </w:rPr>
        <w:t>(Kryogenické nádoby</w:t>
      </w:r>
      <w:r>
        <w:rPr>
          <w:i/>
          <w:spacing w:val="-2"/>
        </w:rPr>
        <w:t xml:space="preserve"> – </w:t>
      </w:r>
      <w:r w:rsidRPr="000B2B8B">
        <w:rPr>
          <w:i/>
          <w:spacing w:val="-2"/>
        </w:rPr>
        <w:t>Stabilní nevakuově izolované nádoby</w:t>
      </w:r>
      <w:r>
        <w:rPr>
          <w:i/>
          <w:spacing w:val="-2"/>
        </w:rPr>
        <w:t xml:space="preserve"> – </w:t>
      </w:r>
      <w:r w:rsidRPr="000B2B8B">
        <w:rPr>
          <w:i/>
          <w:spacing w:val="-2"/>
        </w:rPr>
        <w:t>Část</w:t>
      </w:r>
      <w:r>
        <w:rPr>
          <w:i/>
          <w:spacing w:val="-2"/>
        </w:rPr>
        <w:t> </w:t>
      </w:r>
      <w:r w:rsidRPr="000B2B8B">
        <w:rPr>
          <w:i/>
          <w:spacing w:val="-2"/>
        </w:rPr>
        <w:t>2: Konstrukce, výroba, kontrola</w:t>
      </w:r>
      <w:r w:rsidRPr="000B2B8B">
        <w:rPr>
          <w:i/>
        </w:rPr>
        <w:t xml:space="preserve"> </w:t>
      </w:r>
      <w:r w:rsidRPr="000B2B8B">
        <w:rPr>
          <w:i/>
          <w:spacing w:val="-2"/>
        </w:rPr>
        <w:t>a</w:t>
      </w:r>
      <w:r>
        <w:rPr>
          <w:i/>
          <w:spacing w:val="-2"/>
        </w:rPr>
        <w:t> </w:t>
      </w:r>
      <w:r w:rsidRPr="000B2B8B">
        <w:rPr>
          <w:i/>
          <w:spacing w:val="-2"/>
        </w:rPr>
        <w:t>zkoušení)</w:t>
      </w:r>
    </w:p>
    <w:p w:rsidR="006B4B71" w:rsidRPr="000B2B8B" w:rsidRDefault="006B4B71" w:rsidP="006B4B71">
      <w:pPr>
        <w:pStyle w:val="TextnormyUS"/>
        <w:rPr>
          <w:lang w:val="en-US"/>
        </w:rPr>
      </w:pPr>
      <w:r w:rsidRPr="000B2B8B">
        <w:rPr>
          <w:lang w:val="en-US"/>
        </w:rPr>
        <w:t>EN 60079-10</w:t>
      </w:r>
      <w:r w:rsidRPr="000B2B8B">
        <w:rPr>
          <w:rFonts w:ascii="Arial Unicode MS" w:eastAsia="Arial Unicode MS" w:hAnsi="Arial Unicode MS" w:cs="Arial Unicode MS"/>
          <w:lang w:val="en-US"/>
        </w:rPr>
        <w:t> </w:t>
      </w:r>
      <w:r w:rsidRPr="000B2B8B">
        <w:rPr>
          <w:lang w:val="en-US"/>
        </w:rPr>
        <w:t>Electrical apparatus for explosive gas atmospheres</w:t>
      </w:r>
      <w:r>
        <w:rPr>
          <w:lang w:val="en-US"/>
        </w:rPr>
        <w:t xml:space="preserve"> – </w:t>
      </w:r>
      <w:r w:rsidRPr="000B2B8B">
        <w:rPr>
          <w:lang w:val="en-US"/>
        </w:rPr>
        <w:t>Part</w:t>
      </w:r>
      <w:r>
        <w:rPr>
          <w:lang w:val="en-US"/>
        </w:rPr>
        <w:t> </w:t>
      </w:r>
      <w:r w:rsidRPr="000B2B8B">
        <w:rPr>
          <w:lang w:val="en-US"/>
        </w:rPr>
        <w:t>10: Classification of h</w:t>
      </w:r>
      <w:r w:rsidRPr="000B2B8B">
        <w:rPr>
          <w:lang w:val="en-US"/>
        </w:rPr>
        <w:t>a</w:t>
      </w:r>
      <w:r w:rsidRPr="000B2B8B">
        <w:rPr>
          <w:lang w:val="en-US"/>
        </w:rPr>
        <w:t>zardous areas (IEC 60079-10:1995)</w:t>
      </w:r>
    </w:p>
    <w:p w:rsidR="006B4B71" w:rsidRPr="000B2B8B" w:rsidRDefault="006B4B71" w:rsidP="006B4B71">
      <w:pPr>
        <w:pStyle w:val="Textnormy"/>
        <w:rPr>
          <w:i/>
        </w:rPr>
      </w:pPr>
      <w:r w:rsidRPr="000B2B8B">
        <w:rPr>
          <w:i/>
        </w:rPr>
        <w:t>(Elektrická zařízení pro výbušnou plynnou atmosféru – Část</w:t>
      </w:r>
      <w:r>
        <w:rPr>
          <w:i/>
        </w:rPr>
        <w:t> </w:t>
      </w:r>
      <w:r w:rsidRPr="000B2B8B">
        <w:rPr>
          <w:i/>
        </w:rPr>
        <w:t>10: Určování nebezpečných prostorů)</w:t>
      </w:r>
    </w:p>
    <w:p w:rsidR="006B4B71" w:rsidRPr="000B2B8B" w:rsidRDefault="006B4B71" w:rsidP="006B4B71">
      <w:pPr>
        <w:pStyle w:val="TextnormyUS"/>
        <w:rPr>
          <w:lang w:val="en-US"/>
        </w:rPr>
      </w:pPr>
      <w:r w:rsidRPr="000B2B8B">
        <w:rPr>
          <w:spacing w:val="-2"/>
          <w:lang w:val="en-US"/>
        </w:rPr>
        <w:t>EN</w:t>
      </w:r>
      <w:r>
        <w:rPr>
          <w:spacing w:val="-2"/>
          <w:lang w:val="en-US"/>
        </w:rPr>
        <w:t> </w:t>
      </w:r>
      <w:r w:rsidRPr="000B2B8B">
        <w:rPr>
          <w:spacing w:val="-2"/>
          <w:lang w:val="en-US"/>
        </w:rPr>
        <w:t>60079-14</w:t>
      </w:r>
      <w:r w:rsidRPr="000B2B8B">
        <w:rPr>
          <w:rFonts w:ascii="Arial Unicode MS" w:eastAsia="Arial Unicode MS" w:hAnsi="Arial Unicode MS" w:cs="Arial Unicode MS"/>
          <w:spacing w:val="-2"/>
          <w:lang w:val="en-US"/>
        </w:rPr>
        <w:t> </w:t>
      </w:r>
      <w:r w:rsidRPr="000B2B8B">
        <w:rPr>
          <w:spacing w:val="-2"/>
          <w:lang w:val="en-US"/>
        </w:rPr>
        <w:t>Electrical apparatus for explosive gas atmospheres – Part</w:t>
      </w:r>
      <w:r>
        <w:rPr>
          <w:spacing w:val="-2"/>
          <w:lang w:val="en-US"/>
        </w:rPr>
        <w:t> </w:t>
      </w:r>
      <w:r w:rsidRPr="000B2B8B">
        <w:rPr>
          <w:spacing w:val="-2"/>
          <w:lang w:val="en-US"/>
        </w:rPr>
        <w:t>14: Electrical installations in hazardous</w:t>
      </w:r>
      <w:r w:rsidRPr="000B2B8B">
        <w:rPr>
          <w:lang w:val="en-US"/>
        </w:rPr>
        <w:t xml:space="preserve"> areas (other than mines) (IEC</w:t>
      </w:r>
      <w:r>
        <w:rPr>
          <w:lang w:val="en-US"/>
        </w:rPr>
        <w:t> </w:t>
      </w:r>
      <w:r w:rsidRPr="000B2B8B">
        <w:rPr>
          <w:lang w:val="en-US"/>
        </w:rPr>
        <w:t>60079-14:1996))</w:t>
      </w:r>
    </w:p>
    <w:p w:rsidR="006B4B71" w:rsidRPr="000B2B8B" w:rsidRDefault="006B4B71" w:rsidP="006B4B71">
      <w:pPr>
        <w:pStyle w:val="Textnormy"/>
        <w:rPr>
          <w:i/>
        </w:rPr>
      </w:pPr>
      <w:r w:rsidRPr="000B2B8B">
        <w:rPr>
          <w:i/>
        </w:rPr>
        <w:t>(Elektrická zařízení pro výbušnou plynnou atmosféru</w:t>
      </w:r>
      <w:r>
        <w:rPr>
          <w:i/>
        </w:rPr>
        <w:t xml:space="preserve"> – </w:t>
      </w:r>
      <w:r w:rsidRPr="000B2B8B">
        <w:rPr>
          <w:i/>
        </w:rPr>
        <w:t>Část</w:t>
      </w:r>
      <w:r>
        <w:rPr>
          <w:i/>
        </w:rPr>
        <w:t> </w:t>
      </w:r>
      <w:r w:rsidRPr="000B2B8B">
        <w:rPr>
          <w:i/>
        </w:rPr>
        <w:t>14: Elektrické instalace v</w:t>
      </w:r>
      <w:r>
        <w:rPr>
          <w:i/>
        </w:rPr>
        <w:t> </w:t>
      </w:r>
      <w:r w:rsidRPr="000B2B8B">
        <w:rPr>
          <w:i/>
        </w:rPr>
        <w:t>nebezpečných pr</w:t>
      </w:r>
      <w:r w:rsidRPr="000B2B8B">
        <w:rPr>
          <w:i/>
        </w:rPr>
        <w:t>o</w:t>
      </w:r>
      <w:r w:rsidRPr="000B2B8B">
        <w:rPr>
          <w:i/>
        </w:rPr>
        <w:t>storech (jiných než důlních))</w:t>
      </w:r>
      <w:r>
        <w:rPr>
          <w:rStyle w:val="Znakapoznpodarou"/>
          <w:i/>
        </w:rPr>
        <w:footnoteReference w:customMarkFollows="1" w:id="1"/>
        <w:t>NP1)</w:t>
      </w:r>
    </w:p>
    <w:p w:rsidR="006B4B71" w:rsidRPr="000B2B8B" w:rsidRDefault="006B4B71" w:rsidP="006B4B71">
      <w:pPr>
        <w:pStyle w:val="Nadpis1"/>
      </w:pPr>
      <w:bookmarkStart w:id="84" w:name="_Toc359251365"/>
      <w:bookmarkStart w:id="85" w:name="_Toc359251523"/>
      <w:bookmarkStart w:id="86" w:name="_Toc359251683"/>
      <w:bookmarkStart w:id="87" w:name="_Toc359251940"/>
      <w:bookmarkStart w:id="88" w:name="_Toc359252129"/>
      <w:bookmarkStart w:id="89" w:name="_Toc359252244"/>
      <w:bookmarkStart w:id="90" w:name="_Toc359252487"/>
      <w:bookmarkStart w:id="91" w:name="_Toc359252727"/>
      <w:bookmarkStart w:id="92" w:name="_Toc359252848"/>
      <w:bookmarkStart w:id="93" w:name="_Toc359252922"/>
      <w:bookmarkStart w:id="94" w:name="_Toc359283648"/>
      <w:bookmarkStart w:id="95" w:name="_Toc365965548"/>
      <w:bookmarkStart w:id="96" w:name="_Toc365967315"/>
      <w:bookmarkStart w:id="97" w:name="_Toc365968762"/>
      <w:bookmarkStart w:id="98" w:name="_Toc367082927"/>
      <w:bookmarkStart w:id="99" w:name="_Toc372429542"/>
      <w:bookmarkStart w:id="100" w:name="_Toc375302776"/>
      <w:bookmarkStart w:id="101" w:name="_Toc379098933"/>
      <w:bookmarkStart w:id="102" w:name="_Toc380735106"/>
      <w:bookmarkStart w:id="103" w:name="_Toc380735206"/>
      <w:bookmarkStart w:id="104" w:name="_Toc380825390"/>
      <w:bookmarkStart w:id="105" w:name="_Toc380827279"/>
      <w:bookmarkStart w:id="106" w:name="_Toc380886225"/>
      <w:bookmarkStart w:id="107" w:name="_Toc380886263"/>
      <w:bookmarkStart w:id="108" w:name="_Toc380886373"/>
      <w:bookmarkStart w:id="109" w:name="_Toc380886470"/>
      <w:bookmarkStart w:id="110" w:name="_Toc4487161"/>
      <w:bookmarkStart w:id="111" w:name="_Toc38252392"/>
      <w:bookmarkStart w:id="112" w:name="_Toc69712047"/>
      <w:bookmarkStart w:id="113" w:name="_Toc113845652"/>
      <w:r w:rsidRPr="000B2B8B">
        <w:t>3</w:t>
      </w:r>
      <w:r w:rsidRPr="000B2B8B">
        <w:rPr>
          <w:rFonts w:ascii="Arial Unicode MS" w:eastAsia="Arial Unicode MS" w:hAnsi="Arial Unicode MS" w:cs="Arial Unicode MS" w:hint="eastAsia"/>
        </w:rPr>
        <w:t> </w:t>
      </w:r>
      <w:r w:rsidRPr="000B2B8B">
        <w:t>Termíny a</w:t>
      </w:r>
      <w:r>
        <w:t> </w:t>
      </w:r>
      <w:r w:rsidRPr="000B2B8B">
        <w:t>definice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6B4B71" w:rsidRPr="007A73D1" w:rsidRDefault="006B4B71" w:rsidP="006B4B71">
      <w:pPr>
        <w:pStyle w:val="Textnormy"/>
      </w:pPr>
      <w:r w:rsidRPr="007A73D1">
        <w:t>Pro účely tohoto dokumentu platí termíny a definice podle EN 14197-1 (některé z nich se pro usnadnění op</w:t>
      </w:r>
      <w:r w:rsidRPr="007A73D1">
        <w:t>a</w:t>
      </w:r>
      <w:r w:rsidRPr="007A73D1">
        <w:t>kují níže) a </w:t>
      </w:r>
      <w:r w:rsidRPr="007A73D1">
        <w:rPr>
          <w:rFonts w:cs="Arial"/>
        </w:rPr>
        <w:t>dále uvedené termíny a definice</w:t>
      </w:r>
      <w:r w:rsidRPr="007A73D1">
        <w:t>.</w:t>
      </w:r>
    </w:p>
    <w:p w:rsidR="00A83EAB" w:rsidRDefault="006B4B71" w:rsidP="006B4B71">
      <w:pPr>
        <w:pStyle w:val="Textnormy"/>
        <w:spacing w:before="240"/>
      </w:pPr>
      <w:r w:rsidRPr="000B2B8B">
        <w:rPr>
          <w:b/>
        </w:rPr>
        <w:t>3.1</w:t>
      </w:r>
      <w:r w:rsidRPr="000B2B8B">
        <w:rPr>
          <w:b/>
        </w:rPr>
        <w:br/>
        <w:t xml:space="preserve">uvádění do provozu </w:t>
      </w:r>
      <w:r w:rsidRPr="000B2B8B">
        <w:rPr>
          <w:i/>
        </w:rPr>
        <w:t>(putting into service)</w:t>
      </w:r>
      <w:r w:rsidRPr="000B2B8B">
        <w:tab/>
      </w:r>
      <w:r w:rsidRPr="000B2B8B">
        <w:br/>
        <w:t>postup, při kterém je nádoba připravena poprvé k</w:t>
      </w:r>
      <w:r>
        <w:t> </w:t>
      </w:r>
      <w:r w:rsidRPr="000B2B8B">
        <w:t>použití; platí buď pro nové nádoby použité poprvé</w:t>
      </w:r>
      <w:r>
        <w:t>,</w:t>
      </w:r>
      <w:r w:rsidRPr="000B2B8B">
        <w:t xml:space="preserve"> nebo pro nádoby, které byly odstaveny z</w:t>
      </w:r>
      <w:r>
        <w:t> </w:t>
      </w:r>
      <w:r w:rsidRPr="000B2B8B">
        <w:t>provozu a</w:t>
      </w:r>
      <w:r>
        <w:t> </w:t>
      </w:r>
      <w:r w:rsidRPr="000B2B8B">
        <w:t>budou do něho znovu uváděny</w:t>
      </w:r>
    </w:p>
    <w:sectPr w:rsidR="00A83E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87" w:rsidRDefault="00FC6F87">
      <w:r>
        <w:separator/>
      </w:r>
    </w:p>
  </w:endnote>
  <w:endnote w:type="continuationSeparator" w:id="0">
    <w:p w:rsidR="00FC6F87" w:rsidRDefault="00FC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1" w:subsetted="1" w:fontKey="{BBA958F8-97F7-4D56-B302-E350BE87F38C}"/>
    <w:embedBold r:id="rId2" w:subsetted="1" w:fontKey="{E8CD7177-A4E1-4F83-B0DE-DFB8225C5F09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0EC5">
      <w:rPr>
        <w:rStyle w:val="slostrnky"/>
        <w:noProof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0EC5">
      <w:rPr>
        <w:rStyle w:val="slostrnky"/>
        <w:noProof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790EC5">
    <w:pPr>
      <w:pStyle w:val="1StrCopyright"/>
      <w:tabs>
        <w:tab w:val="clear" w:pos="2155"/>
      </w:tabs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EABD7" wp14:editId="4BB35C7A">
          <wp:simplePos x="0" y="0"/>
          <wp:positionH relativeFrom="column">
            <wp:posOffset>0</wp:posOffset>
          </wp:positionH>
          <wp:positionV relativeFrom="paragraph">
            <wp:posOffset>-60026</wp:posOffset>
          </wp:positionV>
          <wp:extent cx="730800" cy="435600"/>
          <wp:effectExtent l="0" t="0" r="0" b="317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Z-logo_barevne_CMYK-poziti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7" t="21114" r="15938" b="22412"/>
                  <a:stretch/>
                </pic:blipFill>
                <pic:spPr bwMode="auto">
                  <a:xfrm>
                    <a:off x="0" y="0"/>
                    <a:ext cx="730800" cy="43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746">
      <w:tab/>
    </w:r>
    <w:r w:rsidR="00F34746">
      <w:rPr>
        <w:sz w:val="16"/>
      </w:rPr>
      <w:t>© Úřad pro technickou normalizaci, metro</w:t>
    </w:r>
    <w:r w:rsidR="007F4A22">
      <w:rPr>
        <w:sz w:val="16"/>
      </w:rPr>
      <w:t>l</w:t>
    </w:r>
    <w:r w:rsidR="00EB675D">
      <w:rPr>
        <w:sz w:val="16"/>
      </w:rPr>
      <w:t xml:space="preserve">ogii a státní zkušebnictví, </w:t>
    </w:r>
    <w:r w:rsidR="006B4B71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27ABF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27ABF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87" w:rsidRDefault="00FC6F87">
      <w:r>
        <w:separator/>
      </w:r>
    </w:p>
  </w:footnote>
  <w:footnote w:type="continuationSeparator" w:id="0">
    <w:p w:rsidR="00FC6F87" w:rsidRDefault="00FC6F87">
      <w:r>
        <w:continuationSeparator/>
      </w:r>
    </w:p>
  </w:footnote>
  <w:footnote w:id="1">
    <w:p w:rsidR="006B4B71" w:rsidRPr="002907AF" w:rsidRDefault="006B4B71" w:rsidP="002907AF">
      <w:pPr>
        <w:pStyle w:val="Textpoznpodarou"/>
        <w:tabs>
          <w:tab w:val="left" w:pos="426"/>
        </w:tabs>
      </w:pPr>
      <w:r w:rsidRPr="002907AF">
        <w:rPr>
          <w:rStyle w:val="Znakapoznpodarou"/>
        </w:rPr>
        <w:t>NP1)</w:t>
      </w:r>
      <w:r w:rsidR="002907AF" w:rsidRPr="002907AF">
        <w:tab/>
      </w:r>
      <w:r w:rsidRPr="002907AF">
        <w:t>NÁRODNÍ POZNÁMKA</w:t>
      </w:r>
      <w:r w:rsidRPr="002907AF">
        <w:rPr>
          <w:rFonts w:ascii="Arial Unicode MS" w:eastAsia="Arial Unicode MS" w:hAnsi="Arial Unicode MS" w:cs="Arial Unicode MS" w:hint="eastAsia"/>
        </w:rPr>
        <w:t> </w:t>
      </w:r>
      <w:r w:rsidRPr="002907AF">
        <w:rPr>
          <w:rFonts w:ascii="Arial Unicode MS" w:eastAsia="Arial Unicode MS" w:hAnsi="Arial Unicode MS" w:cs="Arial Unicode MS" w:hint="eastAsia"/>
        </w:rPr>
        <w:t>T</w:t>
      </w:r>
      <w:r w:rsidRPr="002907AF">
        <w:rPr>
          <w:rFonts w:ascii="Arial Unicode MS" w:eastAsia="Arial Unicode MS" w:hAnsi="Arial Unicode MS" w:cs="Arial Unicode MS"/>
        </w:rPr>
        <w:t xml:space="preserve">ento dokument je </w:t>
      </w:r>
      <w:r w:rsidRPr="002907AF">
        <w:t>doplněn na základě opravy EN 14197-3:2004/AC:2004-08.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4D5EC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08471" o:spid="_x0000_s2050" type="#_x0000_t136" style="position:absolute;left:0;text-align:left;margin-left:0;margin-top:0;width:625.75pt;height:73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4D5EC9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08472" o:spid="_x0000_s2051" type="#_x0000_t136" style="position:absolute;left:0;text-align:left;margin-left:0;margin-top:0;width:625.75pt;height:73.6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C9" w:rsidRDefault="004D5EC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08470" o:spid="_x0000_s2049" type="#_x0000_t136" style="position:absolute;left:0;text-align:left;margin-left:0;margin-top:0;width:625.75pt;height:73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4D5EC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08474" o:spid="_x0000_s2053" type="#_x0000_t136" style="position:absolute;left:0;text-align:left;margin-left:0;margin-top:0;width:625.75pt;height:73.6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 xml:space="preserve">ČSN EN </w:t>
    </w:r>
    <w:r w:rsidR="006B4B71">
      <w:t>14197-3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Pr="006B4B71" w:rsidRDefault="004D5EC9" w:rsidP="006B4B71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08475" o:spid="_x0000_s2054" type="#_x0000_t136" style="position:absolute;left:0;text-align:left;margin-left:0;margin-top:0;width:625.75pt;height:73.6pt;rotation:315;z-index:-25164492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6B4B71">
      <w:t>ČSN EN 14197-3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C9" w:rsidRDefault="004D5EC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08473" o:spid="_x0000_s2052" type="#_x0000_t136" style="position:absolute;left:0;text-align:left;margin-left:0;margin-top:0;width:625.75pt;height:73.6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3C628EC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88F6E1CC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875A2336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1754570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9266AB7"/>
    <w:multiLevelType w:val="singleLevel"/>
    <w:tmpl w:val="7DC6B1FA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6" w15:restartNumberingAfterBreak="0">
    <w:nsid w:val="53177262"/>
    <w:multiLevelType w:val="singleLevel"/>
    <w:tmpl w:val="29A85D24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7D3C38DE"/>
    <w:multiLevelType w:val="singleLevel"/>
    <w:tmpl w:val="819EF02C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6"/>
  </w:num>
  <w:num w:numId="21">
    <w:abstractNumId w:val="4"/>
  </w:num>
  <w:num w:numId="22">
    <w:abstractNumId w:val="2"/>
  </w:num>
  <w:num w:numId="23">
    <w:abstractNumId w:val="3"/>
  </w:num>
  <w:num w:numId="24">
    <w:abstractNumId w:val="0"/>
  </w:num>
  <w:num w:numId="25">
    <w:abstractNumId w:val="7"/>
  </w:num>
  <w:num w:numId="26">
    <w:abstractNumId w:val="1"/>
  </w:num>
  <w:num w:numId="27">
    <w:abstractNumId w:val="6"/>
  </w:num>
  <w:num w:numId="28">
    <w:abstractNumId w:val="4"/>
  </w:num>
  <w:num w:numId="29">
    <w:abstractNumId w:val="2"/>
  </w:num>
  <w:num w:numId="30">
    <w:abstractNumId w:val="3"/>
  </w:num>
  <w:num w:numId="31">
    <w:abstractNumId w:val="0"/>
  </w:num>
  <w:num w:numId="32">
    <w:abstractNumId w:val="3"/>
  </w:num>
  <w:num w:numId="33">
    <w:abstractNumId w:val="2"/>
  </w:num>
  <w:num w:numId="34">
    <w:abstractNumId w:val="7"/>
  </w:num>
  <w:num w:numId="35">
    <w:abstractNumId w:val="4"/>
  </w:num>
  <w:num w:numId="36">
    <w:abstractNumId w:val="0"/>
  </w:num>
  <w:num w:numId="37">
    <w:abstractNumId w:val="6"/>
  </w:num>
  <w:num w:numId="38">
    <w:abstractNumId w:val="1"/>
  </w:num>
  <w:num w:numId="3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71"/>
    <w:rsid w:val="00072F44"/>
    <w:rsid w:val="000D22A5"/>
    <w:rsid w:val="000D7198"/>
    <w:rsid w:val="000D7CC4"/>
    <w:rsid w:val="00103F06"/>
    <w:rsid w:val="00104C1B"/>
    <w:rsid w:val="00127ABF"/>
    <w:rsid w:val="0013039D"/>
    <w:rsid w:val="0013058D"/>
    <w:rsid w:val="00135415"/>
    <w:rsid w:val="001567EF"/>
    <w:rsid w:val="00194A2B"/>
    <w:rsid w:val="001B1B5E"/>
    <w:rsid w:val="001B63E7"/>
    <w:rsid w:val="00210AAE"/>
    <w:rsid w:val="00231D91"/>
    <w:rsid w:val="00236AFC"/>
    <w:rsid w:val="0028489E"/>
    <w:rsid w:val="002907AF"/>
    <w:rsid w:val="002B25EE"/>
    <w:rsid w:val="002D43DF"/>
    <w:rsid w:val="002F6A9A"/>
    <w:rsid w:val="00314F2D"/>
    <w:rsid w:val="00342659"/>
    <w:rsid w:val="00361E7B"/>
    <w:rsid w:val="0037125D"/>
    <w:rsid w:val="0038646B"/>
    <w:rsid w:val="003C701A"/>
    <w:rsid w:val="004069CB"/>
    <w:rsid w:val="00412CB3"/>
    <w:rsid w:val="004159F3"/>
    <w:rsid w:val="00421B22"/>
    <w:rsid w:val="00445C34"/>
    <w:rsid w:val="004634EE"/>
    <w:rsid w:val="004B223B"/>
    <w:rsid w:val="004C5D55"/>
    <w:rsid w:val="004D39AA"/>
    <w:rsid w:val="004D5EC9"/>
    <w:rsid w:val="00503D98"/>
    <w:rsid w:val="0055412A"/>
    <w:rsid w:val="00576ED5"/>
    <w:rsid w:val="005E3B21"/>
    <w:rsid w:val="005E6EAE"/>
    <w:rsid w:val="006A3382"/>
    <w:rsid w:val="006B04C9"/>
    <w:rsid w:val="006B4B71"/>
    <w:rsid w:val="006D2485"/>
    <w:rsid w:val="00734D06"/>
    <w:rsid w:val="00781609"/>
    <w:rsid w:val="00790EC5"/>
    <w:rsid w:val="007E0F61"/>
    <w:rsid w:val="007E23F0"/>
    <w:rsid w:val="007F27A2"/>
    <w:rsid w:val="007F4A2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85D80"/>
    <w:rsid w:val="009F2E2E"/>
    <w:rsid w:val="00A12852"/>
    <w:rsid w:val="00A3019F"/>
    <w:rsid w:val="00A83EAB"/>
    <w:rsid w:val="00A848B2"/>
    <w:rsid w:val="00A90C34"/>
    <w:rsid w:val="00AB15EC"/>
    <w:rsid w:val="00B04A88"/>
    <w:rsid w:val="00BB7770"/>
    <w:rsid w:val="00BC1FDE"/>
    <w:rsid w:val="00BE7844"/>
    <w:rsid w:val="00C02CD7"/>
    <w:rsid w:val="00C2107C"/>
    <w:rsid w:val="00C43BC8"/>
    <w:rsid w:val="00C904AB"/>
    <w:rsid w:val="00D35BBC"/>
    <w:rsid w:val="00D53D67"/>
    <w:rsid w:val="00D54402"/>
    <w:rsid w:val="00D64213"/>
    <w:rsid w:val="00D85849"/>
    <w:rsid w:val="00DA1989"/>
    <w:rsid w:val="00DE2529"/>
    <w:rsid w:val="00DE412B"/>
    <w:rsid w:val="00E12D49"/>
    <w:rsid w:val="00E22981"/>
    <w:rsid w:val="00E54908"/>
    <w:rsid w:val="00E64DC6"/>
    <w:rsid w:val="00E74C26"/>
    <w:rsid w:val="00EB1FEE"/>
    <w:rsid w:val="00EB675D"/>
    <w:rsid w:val="00F34746"/>
    <w:rsid w:val="00F415E7"/>
    <w:rsid w:val="00F74691"/>
    <w:rsid w:val="00F77831"/>
    <w:rsid w:val="00F95F63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0FE5EEC-4A9A-4DCF-BF35-649D3B1B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B71"/>
  </w:style>
  <w:style w:type="paragraph" w:styleId="Nadpis1">
    <w:name w:val="heading 1"/>
    <w:basedOn w:val="Nadpiskapitoly"/>
    <w:next w:val="Textnormy"/>
    <w:link w:val="Nadpis1Char"/>
    <w:qFormat/>
    <w:rsid w:val="0028489E"/>
    <w:pPr>
      <w:outlineLvl w:val="0"/>
    </w:pPr>
  </w:style>
  <w:style w:type="paragraph" w:styleId="Nadpis2">
    <w:name w:val="heading 2"/>
    <w:basedOn w:val="Nadpislnku"/>
    <w:next w:val="Textnormy"/>
    <w:qFormat/>
    <w:rsid w:val="0028489E"/>
    <w:pPr>
      <w:outlineLvl w:val="1"/>
    </w:pPr>
  </w:style>
  <w:style w:type="paragraph" w:styleId="Nadpis3">
    <w:name w:val="heading 3"/>
    <w:basedOn w:val="Nadpislnku"/>
    <w:next w:val="Textnormy"/>
    <w:qFormat/>
    <w:rsid w:val="0028489E"/>
    <w:pPr>
      <w:outlineLvl w:val="2"/>
    </w:pPr>
  </w:style>
  <w:style w:type="paragraph" w:styleId="Nadpis4">
    <w:name w:val="heading 4"/>
    <w:basedOn w:val="Nadpislnku"/>
    <w:next w:val="Textnormy"/>
    <w:qFormat/>
    <w:rsid w:val="0028489E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28489E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28489E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28489E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28489E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28489E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adpislnku"/>
    <w:next w:val="Textnormy"/>
    <w:rsid w:val="0028489E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rsid w:val="0028489E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28489E"/>
    <w:pPr>
      <w:spacing w:after="120"/>
      <w:jc w:val="both"/>
    </w:pPr>
  </w:style>
  <w:style w:type="paragraph" w:customStyle="1" w:styleId="1StrTrZn">
    <w:name w:val="1StrTrZn"/>
    <w:basedOn w:val="Textnormy"/>
    <w:rsid w:val="0028489E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28489E"/>
    <w:pPr>
      <w:spacing w:before="480"/>
    </w:pPr>
  </w:style>
  <w:style w:type="paragraph" w:customStyle="1" w:styleId="1StrNN-1-23">
    <w:name w:val="1StrNN-1-23"/>
    <w:basedOn w:val="Textnormy"/>
    <w:rsid w:val="0028489E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28489E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28489E"/>
    <w:pPr>
      <w:numPr>
        <w:numId w:val="32"/>
      </w:numPr>
    </w:pPr>
  </w:style>
  <w:style w:type="paragraph" w:styleId="Rejstk1">
    <w:name w:val="index 1"/>
    <w:basedOn w:val="Textnormy"/>
    <w:next w:val="Textnormy"/>
    <w:rsid w:val="0028489E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C43BC8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28489E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28489E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28489E"/>
    <w:pPr>
      <w:spacing w:before="0" w:after="120"/>
      <w:ind w:left="284" w:hanging="284"/>
    </w:pPr>
  </w:style>
  <w:style w:type="paragraph" w:styleId="Zhlav">
    <w:name w:val="header"/>
    <w:basedOn w:val="Textnormy"/>
    <w:rsid w:val="0028489E"/>
    <w:pPr>
      <w:spacing w:after="360"/>
    </w:pPr>
    <w:rPr>
      <w:sz w:val="18"/>
    </w:rPr>
  </w:style>
  <w:style w:type="paragraph" w:styleId="Zpat">
    <w:name w:val="footer"/>
    <w:basedOn w:val="Textnormy"/>
    <w:rsid w:val="0028489E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28489E"/>
    <w:pPr>
      <w:spacing w:after="120"/>
    </w:pPr>
  </w:style>
  <w:style w:type="paragraph" w:styleId="Obsah2">
    <w:name w:val="toc 2"/>
    <w:basedOn w:val="Obsah1"/>
    <w:next w:val="Textnormy"/>
    <w:uiPriority w:val="39"/>
    <w:rsid w:val="0028489E"/>
  </w:style>
  <w:style w:type="paragraph" w:styleId="Obsah1">
    <w:name w:val="toc 1"/>
    <w:basedOn w:val="Textnormy"/>
    <w:next w:val="Textnormy"/>
    <w:rsid w:val="0028489E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8072A3"/>
    <w:pPr>
      <w:numPr>
        <w:numId w:val="39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28489E"/>
  </w:style>
  <w:style w:type="paragraph" w:styleId="Obsah4">
    <w:name w:val="toc 4"/>
    <w:basedOn w:val="Obsah1"/>
    <w:next w:val="Textnormy"/>
    <w:rsid w:val="0028489E"/>
  </w:style>
  <w:style w:type="paragraph" w:styleId="Obsah6">
    <w:name w:val="toc 6"/>
    <w:basedOn w:val="Obsah1"/>
    <w:next w:val="Textnormy"/>
    <w:unhideWhenUsed/>
    <w:rsid w:val="0028489E"/>
  </w:style>
  <w:style w:type="paragraph" w:styleId="Obsah7">
    <w:name w:val="toc 7"/>
    <w:basedOn w:val="Obsah1"/>
    <w:next w:val="Textnormy"/>
    <w:semiHidden/>
    <w:rsid w:val="0028489E"/>
  </w:style>
  <w:style w:type="paragraph" w:styleId="Obsah8">
    <w:name w:val="toc 8"/>
    <w:basedOn w:val="Obsah1"/>
    <w:next w:val="Textnormy"/>
    <w:semiHidden/>
    <w:rsid w:val="0028489E"/>
  </w:style>
  <w:style w:type="character" w:styleId="Znakapoznpodarou">
    <w:name w:val="footnote reference"/>
    <w:basedOn w:val="Standardnpsmoodstavce"/>
    <w:rsid w:val="0028489E"/>
    <w:rPr>
      <w:vertAlign w:val="superscript"/>
    </w:rPr>
  </w:style>
  <w:style w:type="paragraph" w:customStyle="1" w:styleId="ABCseznamCZ">
    <w:name w:val="ABC seznamCZ"/>
    <w:basedOn w:val="Textnormy"/>
    <w:rsid w:val="0028489E"/>
    <w:pPr>
      <w:numPr>
        <w:numId w:val="34"/>
      </w:numPr>
    </w:pPr>
  </w:style>
  <w:style w:type="paragraph" w:customStyle="1" w:styleId="slovanseznamvnorm">
    <w:name w:val="Číslovaný seznam v normě"/>
    <w:basedOn w:val="Textnormy"/>
    <w:rsid w:val="0028489E"/>
    <w:pPr>
      <w:numPr>
        <w:numId w:val="35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28489E"/>
    <w:pPr>
      <w:numPr>
        <w:numId w:val="36"/>
      </w:numPr>
      <w:tabs>
        <w:tab w:val="clear" w:pos="360"/>
      </w:tabs>
    </w:pPr>
  </w:style>
  <w:style w:type="paragraph" w:customStyle="1" w:styleId="Obrzek">
    <w:name w:val="Obrázek"/>
    <w:basedOn w:val="Textnormy"/>
    <w:next w:val="Normln"/>
    <w:rsid w:val="0028489E"/>
    <w:pPr>
      <w:keepNext/>
      <w:spacing w:after="160"/>
      <w:jc w:val="center"/>
    </w:pPr>
  </w:style>
  <w:style w:type="paragraph" w:customStyle="1" w:styleId="Abecednseznam">
    <w:name w:val="Abecední seznam"/>
    <w:basedOn w:val="Textnormy"/>
    <w:rsid w:val="0028489E"/>
    <w:pPr>
      <w:numPr>
        <w:numId w:val="37"/>
      </w:numPr>
      <w:tabs>
        <w:tab w:val="clear" w:pos="360"/>
      </w:tabs>
    </w:pPr>
  </w:style>
  <w:style w:type="paragraph" w:styleId="Textpoznpodarou">
    <w:name w:val="footnote text"/>
    <w:basedOn w:val="Poznmka"/>
    <w:rsid w:val="0028489E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28489E"/>
    <w:pPr>
      <w:ind w:left="1600"/>
    </w:pPr>
  </w:style>
  <w:style w:type="paragraph" w:customStyle="1" w:styleId="1Str1Rad">
    <w:name w:val="1Str1Rad"/>
    <w:basedOn w:val="Textnormy"/>
    <w:rsid w:val="0028489E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28489E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28489E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28489E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28489E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28489E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28489E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28489E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28489E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28489E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28489E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28489E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28489E"/>
    <w:pPr>
      <w:spacing w:before="300"/>
    </w:pPr>
  </w:style>
  <w:style w:type="paragraph" w:customStyle="1" w:styleId="1StrNN-X">
    <w:name w:val="1StrNN-X"/>
    <w:basedOn w:val="1StrNN-1-23"/>
    <w:rsid w:val="0028489E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28489E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28489E"/>
    <w:pPr>
      <w:spacing w:before="800"/>
    </w:pPr>
  </w:style>
  <w:style w:type="paragraph" w:customStyle="1" w:styleId="1StrNN-2-4">
    <w:name w:val="1StrNN-2-4"/>
    <w:basedOn w:val="1StrNN-1-23"/>
    <w:rsid w:val="0028489E"/>
  </w:style>
  <w:style w:type="paragraph" w:customStyle="1" w:styleId="1StrNN-3-4">
    <w:name w:val="1StrNN-3-4"/>
    <w:basedOn w:val="1StrNN-1-23"/>
    <w:rsid w:val="0028489E"/>
    <w:pPr>
      <w:spacing w:before="460"/>
    </w:pPr>
  </w:style>
  <w:style w:type="paragraph" w:customStyle="1" w:styleId="1StrNN-4-4">
    <w:name w:val="1StrNN-4-4"/>
    <w:basedOn w:val="1StrNN-1-23"/>
    <w:rsid w:val="0028489E"/>
    <w:pPr>
      <w:spacing w:before="340"/>
    </w:pPr>
  </w:style>
  <w:style w:type="paragraph" w:customStyle="1" w:styleId="ABCSeznamUS">
    <w:name w:val="ABC SeznamUS"/>
    <w:basedOn w:val="Textnormy"/>
    <w:rsid w:val="0028489E"/>
    <w:pPr>
      <w:numPr>
        <w:numId w:val="38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28489E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28489E"/>
    <w:pPr>
      <w:jc w:val="left"/>
    </w:pPr>
  </w:style>
  <w:style w:type="paragraph" w:customStyle="1" w:styleId="1StrNN-4-3">
    <w:name w:val="1StrNN-4-3"/>
    <w:basedOn w:val="1StrNN-1-23"/>
    <w:rsid w:val="0028489E"/>
    <w:pPr>
      <w:spacing w:before="160"/>
    </w:pPr>
  </w:style>
  <w:style w:type="paragraph" w:customStyle="1" w:styleId="Upozornn">
    <w:name w:val="Upozornění"/>
    <w:basedOn w:val="Normln"/>
    <w:rsid w:val="0028489E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28489E"/>
  </w:style>
  <w:style w:type="character" w:styleId="Hypertextovodkaz">
    <w:name w:val="Hyperlink"/>
    <w:unhideWhenUsed/>
    <w:rsid w:val="0028489E"/>
    <w:rPr>
      <w:color w:val="0000FF"/>
      <w:u w:val="single"/>
    </w:rPr>
  </w:style>
  <w:style w:type="table" w:styleId="Mkatabulky">
    <w:name w:val="Table Grid"/>
    <w:basedOn w:val="Normlntabulka"/>
    <w:rsid w:val="0028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8489E"/>
    <w:rPr>
      <w:b/>
      <w:sz w:val="24"/>
    </w:rPr>
  </w:style>
  <w:style w:type="character" w:styleId="Odkaznakoment">
    <w:name w:val="annotation reference"/>
    <w:basedOn w:val="Standardnpsmoodstavce"/>
    <w:unhideWhenUsed/>
    <w:rsid w:val="0028489E"/>
    <w:rPr>
      <w:sz w:val="16"/>
      <w:szCs w:val="16"/>
    </w:rPr>
  </w:style>
  <w:style w:type="paragraph" w:styleId="Textbubliny">
    <w:name w:val="Balloon Text"/>
    <w:basedOn w:val="Normln"/>
    <w:link w:val="TextbublinyChar"/>
    <w:unhideWhenUsed/>
    <w:rsid w:val="00284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8489E"/>
  </w:style>
  <w:style w:type="character" w:customStyle="1" w:styleId="TextkomenteChar">
    <w:name w:val="Text komentáře Char"/>
    <w:basedOn w:val="Standardnpsmoodstavce"/>
    <w:link w:val="Textkomente"/>
    <w:rsid w:val="0028489E"/>
  </w:style>
  <w:style w:type="character" w:customStyle="1" w:styleId="TextnormyCharChar">
    <w:name w:val="Text normy Char Char"/>
    <w:semiHidden/>
    <w:rsid w:val="0028489E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A12852"/>
  </w:style>
  <w:style w:type="paragraph" w:customStyle="1" w:styleId="NadpisObr">
    <w:name w:val="NadpisObr"/>
    <w:basedOn w:val="Nadpis4"/>
    <w:next w:val="Textnormy"/>
    <w:qFormat/>
    <w:rsid w:val="00D35BBC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4159F3"/>
    <w:pPr>
      <w:jc w:val="center"/>
    </w:pPr>
  </w:style>
  <w:style w:type="paragraph" w:customStyle="1" w:styleId="NadpisTabObr">
    <w:name w:val="NadpisTabObr"/>
    <w:basedOn w:val="Nadpislnku"/>
    <w:next w:val="Textnormy"/>
    <w:rsid w:val="00BE7844"/>
    <w:pPr>
      <w:keepNext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21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Normy21f.dotx</Template>
  <TotalTime>9</TotalTime>
  <Pages>6</Pages>
  <Words>1259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ČESKÁ TECHNICKÁ NORMA</vt:lpstr>
      <vt:lpstr>1 Předmět normy</vt:lpstr>
      <vt:lpstr>2 Citované dokumenty</vt:lpstr>
      <vt:lpstr>3 Termíny a definice</vt:lpstr>
    </vt:vector>
  </TitlesOfParts>
  <Company>ÚNMZ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3</cp:revision>
  <cp:lastPrinted>2020-10-29T07:20:00Z</cp:lastPrinted>
  <dcterms:created xsi:type="dcterms:W3CDTF">2021-09-15T06:51:00Z</dcterms:created>
  <dcterms:modified xsi:type="dcterms:W3CDTF">2021-09-15T07:02:00Z</dcterms:modified>
</cp:coreProperties>
</file>