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 w:rsidP="00FD52EA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1C9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BA20A9">
        <w:rPr>
          <w:sz w:val="16"/>
        </w:rPr>
        <w:t>33.040.30; 33.100.20</w:t>
      </w:r>
      <w:r>
        <w:tab/>
      </w:r>
      <w:r>
        <w:tab/>
      </w:r>
      <w:r>
        <w:rPr>
          <w:b/>
        </w:rPr>
        <w:t>Měsíc</w:t>
      </w:r>
      <w:r w:rsidR="00BA20A9">
        <w:rPr>
          <w:b/>
        </w:rPr>
        <w:t xml:space="preserve"> 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BA20A9" w:rsidP="00FD52EA">
            <w:pPr>
              <w:pStyle w:val="1StrNN-X"/>
            </w:pPr>
            <w:r>
              <w:t>Signalizace v instalacích nízkého napětí v kmitočtovém rozsahu 3 kHz až 148,5 kHz –</w:t>
            </w:r>
            <w:r>
              <w:br/>
              <w:t>Část 2-1: Požadavky na odolnost sí</w:t>
            </w:r>
            <w:bookmarkStart w:id="0" w:name="_GoBack"/>
            <w:bookmarkEnd w:id="0"/>
            <w:r>
              <w:t>ťových komunikačních zařízení a systémů pracujících v rozsahu kmitočtů 95 kHz až 148,5 kHz a určených pro používání v prostorech obytných, obchodních a lehkého průmyslu</w:t>
            </w:r>
          </w:p>
        </w:tc>
        <w:tc>
          <w:tcPr>
            <w:tcW w:w="2552" w:type="dxa"/>
          </w:tcPr>
          <w:p w:rsidR="00BA20A9" w:rsidRPr="00B75C43" w:rsidRDefault="00BA20A9" w:rsidP="00BA20A9">
            <w:pPr>
              <w:pStyle w:val="1StrCN"/>
            </w:pPr>
            <w:r w:rsidRPr="00B75C43">
              <w:t>ČSN</w:t>
            </w:r>
            <w:r w:rsidRPr="00B75C43">
              <w:br/>
            </w:r>
            <w:r>
              <w:t>EN 50065-2-1</w:t>
            </w:r>
            <w:r>
              <w:br/>
              <w:t>OPRAVA 1</w:t>
            </w:r>
          </w:p>
          <w:p w:rsidR="00A83EAB" w:rsidRDefault="00BA20A9" w:rsidP="00BA20A9">
            <w:pPr>
              <w:pStyle w:val="1StrTrZn"/>
              <w:spacing w:before="340"/>
            </w:pPr>
            <w:r>
              <w:br/>
            </w:r>
            <w:r>
              <w:br/>
              <w:t>33 3435</w:t>
            </w:r>
          </w:p>
        </w:tc>
      </w:tr>
    </w:tbl>
    <w:p w:rsidR="00A83EAB" w:rsidRDefault="00A83EAB">
      <w:pPr>
        <w:pStyle w:val="Shodnost"/>
      </w:pPr>
    </w:p>
    <w:p w:rsidR="00BA20A9" w:rsidRPr="00E906F9" w:rsidRDefault="00BA20A9" w:rsidP="00BA20A9">
      <w:pPr>
        <w:pStyle w:val="Cizojazynnzev"/>
        <w:spacing w:after="840"/>
        <w:rPr>
          <w:lang w:val="de-DE"/>
        </w:rPr>
      </w:pPr>
      <w:r w:rsidRPr="00E906F9">
        <w:rPr>
          <w:lang w:val="de-DE"/>
        </w:rPr>
        <w:t>Corrigendum</w:t>
      </w:r>
    </w:p>
    <w:p w:rsidR="00BA20A9" w:rsidRPr="00BA20A9" w:rsidRDefault="00BA20A9" w:rsidP="00BA20A9">
      <w:pPr>
        <w:pStyle w:val="Textnormy"/>
      </w:pPr>
      <w:r w:rsidRPr="00BA20A9">
        <w:t xml:space="preserve">Tato oprava ČSN EN 50065-2-1:2003 je českou verzí opravy EN 50065-2-1:2003/AC:2012-12. Překlad byl zajištěn </w:t>
      </w:r>
      <w:r w:rsidRPr="00BA20A9">
        <w:rPr>
          <w:rFonts w:cs="Arial"/>
        </w:rPr>
        <w:t>Českou agenturou pro standardizaci</w:t>
      </w:r>
      <w:r w:rsidRPr="00BA20A9">
        <w:t>. Má stejný status jako oficiální verze.</w:t>
      </w:r>
    </w:p>
    <w:p w:rsidR="00BA20A9" w:rsidRPr="00BA20A9" w:rsidRDefault="00BA20A9" w:rsidP="00BA20A9">
      <w:pPr>
        <w:pStyle w:val="Textnormy"/>
        <w:rPr>
          <w:lang w:val="en-GB"/>
        </w:rPr>
      </w:pPr>
      <w:r w:rsidRPr="00BA20A9">
        <w:rPr>
          <w:lang w:val="en-GB"/>
        </w:rPr>
        <w:t>This Corrigendum to ČSN EN 50065-2-1:2003 is the Czech version of the Corrigendum</w:t>
      </w:r>
      <w:r w:rsidRPr="00BA20A9">
        <w:rPr>
          <w:lang w:val="en-GB"/>
        </w:rPr>
        <w:tab/>
      </w:r>
      <w:r w:rsidRPr="00BA20A9">
        <w:rPr>
          <w:lang w:val="en-GB"/>
        </w:rPr>
        <w:br/>
        <w:t>EN 50065-2-1:2003/</w:t>
      </w:r>
      <w:r w:rsidRPr="00BA20A9">
        <w:t>AC</w:t>
      </w:r>
      <w:proofErr w:type="gramStart"/>
      <w:r w:rsidRPr="00BA20A9">
        <w:t>:2012</w:t>
      </w:r>
      <w:proofErr w:type="gramEnd"/>
      <w:r w:rsidRPr="00BA20A9">
        <w:t>-12</w:t>
      </w:r>
      <w:r w:rsidRPr="00BA20A9">
        <w:rPr>
          <w:lang w:val="en-GB"/>
        </w:rPr>
        <w:t xml:space="preserve">. </w:t>
      </w:r>
      <w:r w:rsidRPr="00BA20A9">
        <w:t xml:space="preserve">It was translated by the </w:t>
      </w:r>
      <w:r w:rsidRPr="00BA20A9">
        <w:rPr>
          <w:rFonts w:ascii="Helv" w:hAnsi="Helv" w:cs="Helv"/>
          <w:color w:val="000000"/>
        </w:rPr>
        <w:t>Czech Standardization Agency</w:t>
      </w:r>
      <w:r w:rsidRPr="00BA20A9">
        <w:t>.</w:t>
      </w:r>
      <w:r w:rsidRPr="00BA20A9">
        <w:rPr>
          <w:lang w:val="en-GB"/>
        </w:rPr>
        <w:t xml:space="preserve"> It has the same status as the official version.</w:t>
      </w:r>
    </w:p>
    <w:p w:rsidR="00BA20A9" w:rsidRPr="00BA20A9" w:rsidRDefault="00BA20A9" w:rsidP="00BA20A9">
      <w:pPr>
        <w:pStyle w:val="Nadpiskapitoly"/>
      </w:pPr>
      <w:r w:rsidRPr="00BA20A9">
        <w:t>Národní předmluva</w:t>
      </w:r>
    </w:p>
    <w:p w:rsidR="00BA20A9" w:rsidRPr="00BA20A9" w:rsidRDefault="00BA20A9" w:rsidP="00BA20A9">
      <w:pPr>
        <w:pStyle w:val="Nadpislnku"/>
      </w:pPr>
      <w:r w:rsidRPr="00BA20A9">
        <w:t>Vypracování opravy normy</w:t>
      </w:r>
    </w:p>
    <w:p w:rsidR="00BA20A9" w:rsidRPr="00BA20A9" w:rsidRDefault="00BA20A9" w:rsidP="00BA20A9">
      <w:pPr>
        <w:pStyle w:val="Textnormy1str"/>
      </w:pPr>
      <w:r w:rsidRPr="00BA20A9">
        <w:t xml:space="preserve">Zpracovatel: </w:t>
      </w:r>
      <w:r w:rsidRPr="00BA20A9">
        <w:rPr>
          <w:rFonts w:ascii="ArialMT" w:hAnsi="ArialMT" w:cs="ArialMT"/>
        </w:rPr>
        <w:t>Česká agentura pro standardizaci, IČO 06578705</w:t>
      </w:r>
    </w:p>
    <w:p w:rsidR="00BA20A9" w:rsidRPr="00BA20A9" w:rsidRDefault="00BA20A9" w:rsidP="00BA20A9">
      <w:pPr>
        <w:pStyle w:val="Textnormy1str"/>
      </w:pPr>
      <w:r w:rsidRPr="00BA20A9">
        <w:t>Technická normalizační komise: TNK 47 Elektromagnetická kompatibilita</w:t>
      </w:r>
    </w:p>
    <w:p w:rsidR="00BA20A9" w:rsidRPr="00BA20A9" w:rsidRDefault="00BA20A9" w:rsidP="00BA20A9">
      <w:pPr>
        <w:pStyle w:val="Textnormy1str"/>
      </w:pPr>
      <w:r w:rsidRPr="00BA20A9">
        <w:rPr>
          <w:rFonts w:ascii="ArialMT" w:hAnsi="ArialMT" w:cs="ArialMT"/>
        </w:rPr>
        <w:t>Pracovník České agentury pro standardizaci</w:t>
      </w:r>
      <w:r w:rsidRPr="00BA20A9">
        <w:t>: Ing. Antonín Plaček</w:t>
      </w:r>
    </w:p>
    <w:p w:rsidR="00BA20A9" w:rsidRPr="00BA20A9" w:rsidRDefault="00BA20A9" w:rsidP="00BA20A9">
      <w:pPr>
        <w:pStyle w:val="Textnormy"/>
        <w:rPr>
          <w:szCs w:val="28"/>
        </w:rPr>
      </w:pPr>
      <w:r w:rsidRPr="00BA20A9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BA20A9" w:rsidRDefault="00BA20A9" w:rsidP="00BA20A9">
      <w:pPr>
        <w:pStyle w:val="Textnormy"/>
        <w:shd w:val="clear" w:color="auto" w:fill="FFFF00"/>
        <w:rPr>
          <w:color w:val="FF0000"/>
        </w:rPr>
      </w:pPr>
      <w:r>
        <w:rPr>
          <w:color w:val="FF0000"/>
        </w:rPr>
        <w:lastRenderedPageBreak/>
        <w:t>Následuje text v rozsahu evropského dokumentu (pokud je součástí přejímaného dokumentu evropská titulní strana opravy a oznámení o schválení, přejímají se).</w:t>
      </w:r>
    </w:p>
    <w:p w:rsidR="00BA20A9" w:rsidRDefault="00BA20A9" w:rsidP="00BA20A9">
      <w:pPr>
        <w:pStyle w:val="Textnormy"/>
      </w:pPr>
      <w:r>
        <w:rPr>
          <w:color w:val="FF0000"/>
        </w:rPr>
        <w:br w:type="page"/>
      </w:r>
      <w:r w:rsidRPr="00331A72">
        <w:rPr>
          <w:i/>
        </w:rPr>
        <w:lastRenderedPageBreak/>
        <w:t>V tabulce 2 se v řádku b) opravuje ve sloupci 4 „Opakovací kmitočet Hz“ na</w:t>
      </w:r>
      <w:r>
        <w:t xml:space="preserve"> „Opakovací kmitočet kHz“.</w:t>
      </w:r>
    </w:p>
    <w:p w:rsidR="00BA20A9" w:rsidRPr="00331A72" w:rsidRDefault="00BA20A9" w:rsidP="00BA20A9">
      <w:pPr>
        <w:pStyle w:val="Textnormy"/>
        <w:rPr>
          <w:i/>
        </w:rPr>
      </w:pPr>
      <w:r w:rsidRPr="00331A72">
        <w:rPr>
          <w:i/>
        </w:rPr>
        <w:t xml:space="preserve">Na konec dokumentu se doplňuje příloha ZZ: </w:t>
      </w:r>
    </w:p>
    <w:p w:rsidR="00BA20A9" w:rsidRPr="00331A72" w:rsidRDefault="00BA20A9" w:rsidP="00BA20A9">
      <w:pPr>
        <w:pStyle w:val="Nadpis1"/>
        <w:pageBreakBefore/>
        <w:spacing w:before="0"/>
        <w:rPr>
          <w:b w:val="0"/>
        </w:rPr>
      </w:pPr>
      <w:r w:rsidRPr="00331A72">
        <w:lastRenderedPageBreak/>
        <w:t xml:space="preserve">Příloha ZZ </w:t>
      </w:r>
      <w:r w:rsidRPr="00331A72">
        <w:rPr>
          <w:b w:val="0"/>
        </w:rPr>
        <w:t>(informativní)</w:t>
      </w:r>
    </w:p>
    <w:p w:rsidR="00BA20A9" w:rsidRPr="00331A72" w:rsidRDefault="00BA20A9" w:rsidP="00BA20A9">
      <w:pPr>
        <w:pStyle w:val="Nadpis1"/>
      </w:pPr>
      <w:r w:rsidRPr="00331A72">
        <w:t>Vztah mezi touto evropskou normou a základními požadavky směrnice 94/25/ES ve znění směrnice 2003/44/ES</w:t>
      </w:r>
    </w:p>
    <w:p w:rsidR="00BA20A9" w:rsidRPr="00FC2F58" w:rsidRDefault="00BA20A9" w:rsidP="00BA20A9">
      <w:pPr>
        <w:pStyle w:val="Textnormy"/>
      </w:pPr>
      <w:r>
        <w:t xml:space="preserve">Tato evropská norma byla vypracována na základě mandátu uděleného CENELEC Evropskou komisí a Evropským sdružením volného obchodu za účelem poskytnutí prostředků pro zajištění shody se základními požadavky směrnice nového přístupu 94/25/ES, ve znění směrnice </w:t>
      </w:r>
      <w:r w:rsidRPr="00FC2F58">
        <w:t xml:space="preserve">2003/44/ES. </w:t>
      </w:r>
    </w:p>
    <w:p w:rsidR="00BA20A9" w:rsidRDefault="00BA20A9" w:rsidP="00BA20A9">
      <w:pPr>
        <w:pStyle w:val="Textnormy"/>
      </w:pPr>
      <w:r>
        <w:t xml:space="preserve">Jakmile je tato norma uvedena v Úředním věstníku Evropské unie v rámci této směrnice a byla zavedena jako národní norma alespoň jedním členským státem, potom shoda s ustanoveními této normy uvedenými v tabulce </w:t>
      </w:r>
      <w:proofErr w:type="gramStart"/>
      <w:r>
        <w:t>ZZ.1 potvrzuje</w:t>
      </w:r>
      <w:proofErr w:type="gramEnd"/>
      <w:r>
        <w:t xml:space="preserve"> v rozsahu předmětu této normy předpoklad shody s odpovídajícími základními požadavky této směrnice a přidružených předpisů ESVO.</w:t>
      </w:r>
    </w:p>
    <w:p w:rsidR="00BA20A9" w:rsidRDefault="00BA20A9" w:rsidP="00BA20A9">
      <w:pPr>
        <w:pStyle w:val="NadpisTabObr"/>
        <w:rPr>
          <w:rFonts w:eastAsia="ArialMT"/>
        </w:rPr>
      </w:pPr>
      <w:r>
        <w:t xml:space="preserve">Tabulka </w:t>
      </w:r>
      <w:proofErr w:type="gramStart"/>
      <w:r>
        <w:t>ZZ.1 – Vztah</w:t>
      </w:r>
      <w:proofErr w:type="gramEnd"/>
      <w:r>
        <w:t xml:space="preserve"> mezi touto evropskou normou a směrnicí 94/25/ES, ve znění směrnice 2003/44/ES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306"/>
        <w:gridCol w:w="3303"/>
      </w:tblGrid>
      <w:tr w:rsidR="00BA20A9" w:rsidRPr="00F04B70" w:rsidTr="00834BF5">
        <w:tc>
          <w:tcPr>
            <w:tcW w:w="3246" w:type="dxa"/>
            <w:shd w:val="clear" w:color="auto" w:fill="auto"/>
          </w:tcPr>
          <w:p w:rsidR="00BA20A9" w:rsidRPr="00F04B70" w:rsidRDefault="00BA20A9" w:rsidP="00834BF5">
            <w:pPr>
              <w:pStyle w:val="Texttabulky"/>
              <w:jc w:val="center"/>
              <w:rPr>
                <w:rFonts w:eastAsia="ArialMT"/>
                <w:b/>
              </w:rPr>
            </w:pPr>
            <w:r w:rsidRPr="00F04B70">
              <w:rPr>
                <w:b/>
              </w:rPr>
              <w:t>Ustanovení této evropské normy</w:t>
            </w:r>
          </w:p>
        </w:tc>
        <w:tc>
          <w:tcPr>
            <w:tcW w:w="3354" w:type="dxa"/>
            <w:shd w:val="clear" w:color="auto" w:fill="auto"/>
          </w:tcPr>
          <w:p w:rsidR="00BA20A9" w:rsidRPr="00F04B70" w:rsidRDefault="00BA20A9" w:rsidP="00834BF5">
            <w:pPr>
              <w:pStyle w:val="Texttabulky"/>
              <w:jc w:val="center"/>
              <w:rPr>
                <w:rFonts w:eastAsia="ArialMT"/>
                <w:b/>
              </w:rPr>
            </w:pPr>
            <w:r w:rsidRPr="00F04B70">
              <w:rPr>
                <w:b/>
              </w:rPr>
              <w:t>Odpovídající přílohy/články směrnice 94/25/ES, ve znění směrnice 2003/44/ES</w:t>
            </w:r>
          </w:p>
        </w:tc>
        <w:tc>
          <w:tcPr>
            <w:tcW w:w="3354" w:type="dxa"/>
            <w:shd w:val="clear" w:color="auto" w:fill="auto"/>
          </w:tcPr>
          <w:p w:rsidR="00BA20A9" w:rsidRPr="00F04B70" w:rsidRDefault="00BA20A9" w:rsidP="00834BF5">
            <w:pPr>
              <w:pStyle w:val="Texttabulky"/>
              <w:jc w:val="center"/>
              <w:rPr>
                <w:rFonts w:eastAsia="ArialMT"/>
                <w:b/>
              </w:rPr>
            </w:pPr>
            <w:r w:rsidRPr="00F04B70">
              <w:rPr>
                <w:b/>
              </w:rPr>
              <w:t>Komentáře</w:t>
            </w:r>
          </w:p>
        </w:tc>
      </w:tr>
      <w:tr w:rsidR="00BA20A9" w:rsidRPr="00F04B70" w:rsidTr="00834BF5">
        <w:tc>
          <w:tcPr>
            <w:tcW w:w="3246" w:type="dxa"/>
            <w:shd w:val="clear" w:color="auto" w:fill="auto"/>
          </w:tcPr>
          <w:p w:rsidR="00BA20A9" w:rsidRPr="00F04B70" w:rsidRDefault="00BA20A9" w:rsidP="00834BF5">
            <w:pPr>
              <w:pStyle w:val="Texttabulky"/>
              <w:rPr>
                <w:rFonts w:eastAsia="ArialMT"/>
              </w:rPr>
            </w:pPr>
            <w:r w:rsidRPr="00F04B70">
              <w:rPr>
                <w:rFonts w:eastAsia="ArialMT"/>
              </w:rPr>
              <w:t>Kapitoly 1 až 13</w:t>
            </w:r>
          </w:p>
        </w:tc>
        <w:tc>
          <w:tcPr>
            <w:tcW w:w="3354" w:type="dxa"/>
            <w:shd w:val="clear" w:color="auto" w:fill="auto"/>
          </w:tcPr>
          <w:p w:rsidR="00BA20A9" w:rsidRPr="00F04B70" w:rsidRDefault="00BA20A9" w:rsidP="00834BF5">
            <w:pPr>
              <w:pStyle w:val="Texttabulky"/>
              <w:rPr>
                <w:rFonts w:eastAsia="ArialMT"/>
              </w:rPr>
            </w:pPr>
            <w:proofErr w:type="gramStart"/>
            <w:r w:rsidRPr="00F04B70">
              <w:rPr>
                <w:rFonts w:eastAsia="ArialMT"/>
              </w:rPr>
              <w:t>Příloha 1.A;</w:t>
            </w:r>
            <w:proofErr w:type="gramEnd"/>
            <w:r w:rsidRPr="00F04B70">
              <w:rPr>
                <w:rFonts w:eastAsia="ArialMT"/>
              </w:rPr>
              <w:t xml:space="preserve"> 5.3; 5.6.1</w:t>
            </w:r>
          </w:p>
        </w:tc>
        <w:tc>
          <w:tcPr>
            <w:tcW w:w="3354" w:type="dxa"/>
            <w:shd w:val="clear" w:color="auto" w:fill="auto"/>
          </w:tcPr>
          <w:p w:rsidR="00BA20A9" w:rsidRPr="00F04B70" w:rsidRDefault="00BA20A9" w:rsidP="00834BF5">
            <w:pPr>
              <w:pStyle w:val="Texttabulky"/>
              <w:rPr>
                <w:rFonts w:eastAsia="ArialMT"/>
              </w:rPr>
            </w:pPr>
            <w:r w:rsidRPr="00F04B70">
              <w:rPr>
                <w:rFonts w:eastAsia="ArialMT"/>
              </w:rPr>
              <w:t xml:space="preserve">Elektrické systémy – instalace třífázových rozvodů střídavého proudu, které pracují při jmenovité hodnotě nepřevyšující 500 V AC. </w:t>
            </w:r>
          </w:p>
        </w:tc>
      </w:tr>
    </w:tbl>
    <w:p w:rsidR="00BA20A9" w:rsidRDefault="00BA20A9" w:rsidP="00BA20A9">
      <w:pPr>
        <w:pStyle w:val="Textnormy"/>
        <w:spacing w:before="240"/>
        <w:rPr>
          <w:rFonts w:eastAsia="ArialMT"/>
        </w:rPr>
      </w:pPr>
      <w:r w:rsidRPr="00254F0C">
        <w:rPr>
          <w:rFonts w:eastAsia="ArialMT"/>
          <w:b/>
        </w:rPr>
        <w:t>UPOZORN</w:t>
      </w:r>
      <w:r w:rsidRPr="00254F0C">
        <w:rPr>
          <w:rFonts w:eastAsia="ArialMT" w:hint="eastAsia"/>
          <w:b/>
        </w:rPr>
        <w:t>Ě</w:t>
      </w:r>
      <w:r w:rsidRPr="00254F0C">
        <w:rPr>
          <w:rFonts w:eastAsia="ArialMT"/>
          <w:b/>
        </w:rPr>
        <w:t>N</w:t>
      </w:r>
      <w:r w:rsidRPr="00254F0C">
        <w:rPr>
          <w:rFonts w:eastAsia="ArialMT" w:hint="eastAsia"/>
          <w:b/>
        </w:rPr>
        <w:t>Í</w:t>
      </w:r>
      <w:r>
        <w:rPr>
          <w:snapToGrid w:val="0"/>
        </w:rPr>
        <w:t> </w:t>
      </w:r>
      <w:r>
        <w:rPr>
          <w:rFonts w:eastAsia="ArialMT"/>
        </w:rPr>
        <w:t>Na v</w:t>
      </w:r>
      <w:r>
        <w:rPr>
          <w:rFonts w:eastAsia="ArialMT" w:hint="eastAsia"/>
        </w:rPr>
        <w:t>ý</w:t>
      </w:r>
      <w:r>
        <w:rPr>
          <w:rFonts w:eastAsia="ArialMT"/>
        </w:rPr>
        <w:t>robky spadaj</w:t>
      </w:r>
      <w:r>
        <w:rPr>
          <w:rFonts w:eastAsia="ArialMT" w:hint="eastAsia"/>
        </w:rPr>
        <w:t>í</w:t>
      </w:r>
      <w:r>
        <w:rPr>
          <w:rFonts w:eastAsia="ArialMT"/>
        </w:rPr>
        <w:t>c</w:t>
      </w:r>
      <w:r>
        <w:rPr>
          <w:rFonts w:eastAsia="ArialMT" w:hint="eastAsia"/>
        </w:rPr>
        <w:t>í</w:t>
      </w:r>
      <w:r>
        <w:rPr>
          <w:rFonts w:eastAsia="ArialMT"/>
        </w:rPr>
        <w:t xml:space="preserve"> do rozsahu p</w:t>
      </w:r>
      <w:r>
        <w:rPr>
          <w:rFonts w:eastAsia="ArialMT" w:hint="eastAsia"/>
        </w:rPr>
        <w:t>ů</w:t>
      </w:r>
      <w:r>
        <w:rPr>
          <w:rFonts w:eastAsia="ArialMT"/>
        </w:rPr>
        <w:t>sobnosti t</w:t>
      </w:r>
      <w:r>
        <w:rPr>
          <w:rFonts w:eastAsia="ArialMT" w:hint="eastAsia"/>
        </w:rPr>
        <w:t>é</w:t>
      </w:r>
      <w:r>
        <w:rPr>
          <w:rFonts w:eastAsia="ArialMT"/>
        </w:rPr>
        <w:t>to normy se mohou vztahovat dal</w:t>
      </w:r>
      <w:r>
        <w:rPr>
          <w:rFonts w:eastAsia="ArialMT" w:hint="eastAsia"/>
        </w:rPr>
        <w:t>ší</w:t>
      </w:r>
      <w:r>
        <w:rPr>
          <w:rFonts w:eastAsia="ArialMT"/>
        </w:rPr>
        <w:t xml:space="preserve"> po</w:t>
      </w:r>
      <w:r>
        <w:rPr>
          <w:rFonts w:eastAsia="ArialMT" w:hint="eastAsia"/>
        </w:rPr>
        <w:t>ž</w:t>
      </w:r>
      <w:r>
        <w:rPr>
          <w:rFonts w:eastAsia="ArialMT"/>
        </w:rPr>
        <w:t>adavky a dal</w:t>
      </w:r>
      <w:r>
        <w:rPr>
          <w:rFonts w:eastAsia="ArialMT" w:hint="eastAsia"/>
        </w:rPr>
        <w:t>ší</w:t>
      </w:r>
      <w:r>
        <w:rPr>
          <w:rFonts w:eastAsia="ArialMT"/>
        </w:rPr>
        <w:t xml:space="preserve"> sm</w:t>
      </w:r>
      <w:r>
        <w:rPr>
          <w:rFonts w:eastAsia="ArialMT" w:hint="eastAsia"/>
        </w:rPr>
        <w:t>ě</w:t>
      </w:r>
      <w:r>
        <w:rPr>
          <w:rFonts w:eastAsia="ArialMT"/>
        </w:rPr>
        <w:t>rnice ES.</w:t>
      </w:r>
    </w:p>
    <w:p w:rsidR="00BA20A9" w:rsidRPr="009A5DD8" w:rsidRDefault="00BA20A9" w:rsidP="00BA20A9">
      <w:pPr>
        <w:pStyle w:val="Textnormy"/>
      </w:pPr>
    </w:p>
    <w:sectPr w:rsidR="00BA20A9" w:rsidRPr="009A5DD8" w:rsidSect="00AF7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D3" w:rsidRDefault="00D62FD3">
      <w:r>
        <w:separator/>
      </w:r>
    </w:p>
  </w:endnote>
  <w:endnote w:type="continuationSeparator" w:id="0">
    <w:p w:rsidR="00D62FD3" w:rsidRDefault="00D6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BA20A9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050CD3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D52E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050CD3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D52EA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D3" w:rsidRDefault="00D62FD3">
      <w:r>
        <w:separator/>
      </w:r>
    </w:p>
  </w:footnote>
  <w:footnote w:type="continuationSeparator" w:id="0">
    <w:p w:rsidR="00D62FD3" w:rsidRDefault="00D6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62FD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5945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62FD3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5946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A9" w:rsidRDefault="00D62FD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5944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Pr="00F32D21" w:rsidRDefault="00D62FD3" w:rsidP="00F32D2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5948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050CD3">
      <w:t>ČSN EN 50065-2-1/Opr.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D62FD3" w:rsidP="009A5DD8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5949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050CD3">
      <w:t>ČSN EN 50065-2-1/Opr.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92" w:rsidRDefault="00D62FD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5947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6"/>
  </w:num>
  <w:num w:numId="2">
    <w:abstractNumId w:val="10"/>
    <w:lvlOverride w:ilvl="0">
      <w:startOverride w:val="1"/>
    </w:lvlOverride>
  </w:num>
  <w:num w:numId="3">
    <w:abstractNumId w:val="17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11"/>
  </w:num>
  <w:num w:numId="11">
    <w:abstractNumId w:val="18"/>
  </w:num>
  <w:num w:numId="12">
    <w:abstractNumId w:val="10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9"/>
  </w:num>
  <w:num w:numId="18">
    <w:abstractNumId w:val="18"/>
  </w:num>
  <w:num w:numId="19">
    <w:abstractNumId w:val="10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9"/>
  </w:num>
  <w:num w:numId="25">
    <w:abstractNumId w:val="18"/>
  </w:num>
  <w:num w:numId="26">
    <w:abstractNumId w:val="10"/>
  </w:num>
  <w:num w:numId="27">
    <w:abstractNumId w:val="17"/>
  </w:num>
  <w:num w:numId="28">
    <w:abstractNumId w:val="15"/>
  </w:num>
  <w:num w:numId="29">
    <w:abstractNumId w:val="11"/>
  </w:num>
  <w:num w:numId="30">
    <w:abstractNumId w:val="14"/>
  </w:num>
  <w:num w:numId="31">
    <w:abstractNumId w:val="9"/>
  </w:num>
  <w:num w:numId="32">
    <w:abstractNumId w:val="14"/>
  </w:num>
  <w:num w:numId="33">
    <w:abstractNumId w:val="11"/>
  </w:num>
  <w:num w:numId="34">
    <w:abstractNumId w:val="18"/>
  </w:num>
  <w:num w:numId="35">
    <w:abstractNumId w:val="15"/>
  </w:num>
  <w:num w:numId="36">
    <w:abstractNumId w:val="9"/>
  </w:num>
  <w:num w:numId="37">
    <w:abstractNumId w:val="17"/>
  </w:num>
  <w:num w:numId="38">
    <w:abstractNumId w:val="10"/>
  </w:num>
  <w:num w:numId="39">
    <w:abstractNumId w:val="11"/>
  </w:num>
  <w:num w:numId="40">
    <w:abstractNumId w:val="13"/>
  </w:num>
  <w:num w:numId="41">
    <w:abstractNumId w:val="12"/>
  </w:num>
  <w:num w:numId="42">
    <w:abstractNumId w:val="0"/>
  </w:num>
  <w:num w:numId="43">
    <w:abstractNumId w:val="1"/>
  </w:num>
  <w:num w:numId="44">
    <w:abstractNumId w:val="3"/>
  </w:num>
  <w:num w:numId="45">
    <w:abstractNumId w:val="2"/>
  </w:num>
  <w:num w:numId="46">
    <w:abstractNumId w:val="8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A9"/>
    <w:rsid w:val="00050CD3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A20A9"/>
    <w:rsid w:val="00BB7770"/>
    <w:rsid w:val="00BC1FDE"/>
    <w:rsid w:val="00C02CD7"/>
    <w:rsid w:val="00C2107C"/>
    <w:rsid w:val="00C43BC8"/>
    <w:rsid w:val="00C904AB"/>
    <w:rsid w:val="00D53D67"/>
    <w:rsid w:val="00D54402"/>
    <w:rsid w:val="00D62FD3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9DD5420-412B-44F7-A272-C15EE0D8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2EA"/>
  </w:style>
  <w:style w:type="paragraph" w:styleId="Nadpis1">
    <w:name w:val="heading 1"/>
    <w:basedOn w:val="Nadpiskapitoly"/>
    <w:next w:val="Textnormy"/>
    <w:link w:val="Nadpis1Char"/>
    <w:qFormat/>
    <w:rsid w:val="00FD52EA"/>
    <w:pPr>
      <w:outlineLvl w:val="0"/>
    </w:pPr>
  </w:style>
  <w:style w:type="paragraph" w:styleId="Nadpis2">
    <w:name w:val="heading 2"/>
    <w:basedOn w:val="Nadpislnku"/>
    <w:next w:val="Textnormy"/>
    <w:qFormat/>
    <w:rsid w:val="00FD52EA"/>
    <w:pPr>
      <w:outlineLvl w:val="1"/>
    </w:pPr>
  </w:style>
  <w:style w:type="paragraph" w:styleId="Nadpis3">
    <w:name w:val="heading 3"/>
    <w:basedOn w:val="Nadpislnku"/>
    <w:next w:val="Textnormy"/>
    <w:qFormat/>
    <w:rsid w:val="00FD52EA"/>
    <w:pPr>
      <w:outlineLvl w:val="2"/>
    </w:pPr>
  </w:style>
  <w:style w:type="paragraph" w:styleId="Nadpis4">
    <w:name w:val="heading 4"/>
    <w:basedOn w:val="Nadpislnku"/>
    <w:next w:val="Textnormy"/>
    <w:qFormat/>
    <w:rsid w:val="00FD52EA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FD52EA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FD52EA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FD52EA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FD52EA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FD52EA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FD52E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D52EA"/>
  </w:style>
  <w:style w:type="paragraph" w:customStyle="1" w:styleId="Nadpiskapitoly">
    <w:name w:val="Nadpis kapitoly"/>
    <w:basedOn w:val="Nadpislnku"/>
    <w:next w:val="Textnormy"/>
    <w:rsid w:val="00FD52EA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FD52EA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FD52EA"/>
    <w:pPr>
      <w:spacing w:after="120"/>
      <w:jc w:val="both"/>
    </w:pPr>
  </w:style>
  <w:style w:type="paragraph" w:customStyle="1" w:styleId="1StrTrZn">
    <w:name w:val="1StrTrZn"/>
    <w:basedOn w:val="Textnormy"/>
    <w:rsid w:val="00FD52EA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FD52EA"/>
    <w:pPr>
      <w:spacing w:before="480"/>
    </w:pPr>
  </w:style>
  <w:style w:type="paragraph" w:customStyle="1" w:styleId="1StrNN-1-23">
    <w:name w:val="1StrNN-1-23"/>
    <w:basedOn w:val="Textnormy"/>
    <w:rsid w:val="00FD52EA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FD52EA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FD52EA"/>
    <w:pPr>
      <w:numPr>
        <w:numId w:val="4"/>
      </w:numPr>
      <w:ind w:left="284" w:hanging="284"/>
    </w:pPr>
  </w:style>
  <w:style w:type="paragraph" w:styleId="Rejstk1">
    <w:name w:val="index 1"/>
    <w:basedOn w:val="Textnormy"/>
    <w:next w:val="Textnormy"/>
    <w:rsid w:val="00FD52EA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FD52EA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FD52EA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FD52EA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FD52EA"/>
    <w:pPr>
      <w:spacing w:before="0" w:after="120"/>
      <w:ind w:left="284" w:hanging="284"/>
    </w:pPr>
  </w:style>
  <w:style w:type="paragraph" w:styleId="Zhlav">
    <w:name w:val="header"/>
    <w:basedOn w:val="Textnormy"/>
    <w:rsid w:val="00FD52EA"/>
    <w:pPr>
      <w:spacing w:after="360"/>
    </w:pPr>
    <w:rPr>
      <w:sz w:val="18"/>
    </w:rPr>
  </w:style>
  <w:style w:type="paragraph" w:styleId="Zpat">
    <w:name w:val="footer"/>
    <w:basedOn w:val="Textnormy"/>
    <w:rsid w:val="00FD52EA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FD52EA"/>
    <w:pPr>
      <w:spacing w:after="120"/>
    </w:pPr>
  </w:style>
  <w:style w:type="paragraph" w:styleId="Obsah2">
    <w:name w:val="toc 2"/>
    <w:basedOn w:val="Obsah1"/>
    <w:next w:val="Textnormy"/>
    <w:uiPriority w:val="39"/>
    <w:rsid w:val="00FD52EA"/>
  </w:style>
  <w:style w:type="paragraph" w:styleId="Obsah1">
    <w:name w:val="toc 1"/>
    <w:basedOn w:val="Textnormy"/>
    <w:next w:val="Textnormy"/>
    <w:uiPriority w:val="39"/>
    <w:rsid w:val="00FD52EA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FD52EA"/>
    <w:pPr>
      <w:numPr>
        <w:numId w:val="10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FD52EA"/>
  </w:style>
  <w:style w:type="paragraph" w:styleId="Obsah4">
    <w:name w:val="toc 4"/>
    <w:basedOn w:val="Obsah1"/>
    <w:next w:val="Textnormy"/>
    <w:rsid w:val="00FD52EA"/>
  </w:style>
  <w:style w:type="paragraph" w:styleId="Obsah6">
    <w:name w:val="toc 6"/>
    <w:basedOn w:val="Obsah1"/>
    <w:next w:val="Textnormy"/>
    <w:rsid w:val="00FD52EA"/>
  </w:style>
  <w:style w:type="paragraph" w:styleId="Obsah7">
    <w:name w:val="toc 7"/>
    <w:basedOn w:val="Obsah1"/>
    <w:next w:val="Textnormy"/>
    <w:semiHidden/>
    <w:rsid w:val="00FD52EA"/>
  </w:style>
  <w:style w:type="paragraph" w:styleId="Obsah8">
    <w:name w:val="toc 8"/>
    <w:basedOn w:val="Obsah1"/>
    <w:next w:val="Textnormy"/>
    <w:semiHidden/>
    <w:rsid w:val="00FD52EA"/>
  </w:style>
  <w:style w:type="character" w:styleId="Znakapoznpodarou">
    <w:name w:val="footnote reference"/>
    <w:basedOn w:val="Standardnpsmoodstavce"/>
    <w:rsid w:val="00FD52EA"/>
    <w:rPr>
      <w:vertAlign w:val="superscript"/>
    </w:rPr>
  </w:style>
  <w:style w:type="paragraph" w:customStyle="1" w:styleId="ABCseznamCZ">
    <w:name w:val="ABC seznamCZ"/>
    <w:basedOn w:val="Textnormy"/>
    <w:rsid w:val="00FD52EA"/>
    <w:pPr>
      <w:numPr>
        <w:numId w:val="9"/>
      </w:numPr>
    </w:pPr>
  </w:style>
  <w:style w:type="paragraph" w:customStyle="1" w:styleId="slovanseznamvnorm">
    <w:name w:val="Číslovaný seznam v normě"/>
    <w:basedOn w:val="Textnormy"/>
    <w:rsid w:val="00FD52EA"/>
    <w:pPr>
      <w:numPr>
        <w:numId w:val="5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FD52EA"/>
    <w:pPr>
      <w:numPr>
        <w:numId w:val="6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FD52EA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FD52EA"/>
    <w:pPr>
      <w:keepNext w:val="0"/>
      <w:jc w:val="center"/>
    </w:pPr>
  </w:style>
  <w:style w:type="paragraph" w:customStyle="1" w:styleId="Abecednseznam">
    <w:name w:val="Abecední seznam"/>
    <w:basedOn w:val="Textnormy"/>
    <w:rsid w:val="00FD52EA"/>
    <w:pPr>
      <w:numPr>
        <w:numId w:val="3"/>
      </w:numPr>
      <w:tabs>
        <w:tab w:val="clear" w:pos="360"/>
      </w:tabs>
    </w:pPr>
  </w:style>
  <w:style w:type="paragraph" w:styleId="Textpoznpodarou">
    <w:name w:val="footnote text"/>
    <w:basedOn w:val="Poznmka"/>
    <w:rsid w:val="00FD52EA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FD52EA"/>
    <w:pPr>
      <w:ind w:left="1600"/>
    </w:pPr>
  </w:style>
  <w:style w:type="paragraph" w:customStyle="1" w:styleId="1Str1Rad">
    <w:name w:val="1Str1Rad"/>
    <w:basedOn w:val="Textnormy"/>
    <w:rsid w:val="00FD52EA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FD52EA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FD52EA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FD52EA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FD52EA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FD52EA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FD52EA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FD52EA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FD52EA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FD52EA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FD52EA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FD52EA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FD52EA"/>
    <w:pPr>
      <w:spacing w:before="300"/>
    </w:pPr>
  </w:style>
  <w:style w:type="paragraph" w:customStyle="1" w:styleId="1StrNN-X">
    <w:name w:val="1StrNN-X"/>
    <w:basedOn w:val="1StrNN-1-23"/>
    <w:rsid w:val="00FD52EA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FD52EA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FD52EA"/>
    <w:pPr>
      <w:spacing w:before="800"/>
    </w:pPr>
  </w:style>
  <w:style w:type="paragraph" w:customStyle="1" w:styleId="1StrNN-2-4">
    <w:name w:val="1StrNN-2-4"/>
    <w:basedOn w:val="1StrNN-1-23"/>
    <w:rsid w:val="00FD52EA"/>
  </w:style>
  <w:style w:type="paragraph" w:customStyle="1" w:styleId="1StrNN-3-4">
    <w:name w:val="1StrNN-3-4"/>
    <w:basedOn w:val="1StrNN-1-23"/>
    <w:rsid w:val="00FD52EA"/>
    <w:pPr>
      <w:spacing w:before="460"/>
    </w:pPr>
  </w:style>
  <w:style w:type="paragraph" w:customStyle="1" w:styleId="1StrNN-4-4">
    <w:name w:val="1StrNN-4-4"/>
    <w:basedOn w:val="1StrNN-1-23"/>
    <w:rsid w:val="00FD52EA"/>
    <w:pPr>
      <w:spacing w:before="340"/>
    </w:pPr>
  </w:style>
  <w:style w:type="paragraph" w:customStyle="1" w:styleId="ABCSeznamUS">
    <w:name w:val="ABC SeznamUS"/>
    <w:basedOn w:val="Textnormy"/>
    <w:rsid w:val="00FD52EA"/>
    <w:pPr>
      <w:numPr>
        <w:numId w:val="7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FD52EA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FD52EA"/>
    <w:pPr>
      <w:jc w:val="left"/>
    </w:pPr>
  </w:style>
  <w:style w:type="paragraph" w:customStyle="1" w:styleId="1StrNN-4-3">
    <w:name w:val="1StrNN-4-3"/>
    <w:basedOn w:val="1StrNN-1-23"/>
    <w:rsid w:val="00FD52EA"/>
    <w:pPr>
      <w:spacing w:before="160"/>
    </w:pPr>
  </w:style>
  <w:style w:type="paragraph" w:customStyle="1" w:styleId="Upozornn">
    <w:name w:val="Upozornění"/>
    <w:basedOn w:val="Normln"/>
    <w:rsid w:val="00FD52EA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FD52EA"/>
  </w:style>
  <w:style w:type="character" w:styleId="Hypertextovodkaz">
    <w:name w:val="Hyperlink"/>
    <w:unhideWhenUsed/>
    <w:rsid w:val="00FD52EA"/>
    <w:rPr>
      <w:color w:val="0000FF"/>
      <w:u w:val="single"/>
    </w:rPr>
  </w:style>
  <w:style w:type="table" w:styleId="Mkatabulky">
    <w:name w:val="Table Grid"/>
    <w:basedOn w:val="Normlntabulka"/>
    <w:rsid w:val="00FD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FD52EA"/>
    <w:rPr>
      <w:b/>
      <w:sz w:val="24"/>
    </w:rPr>
  </w:style>
  <w:style w:type="character" w:styleId="Odkaznakoment">
    <w:name w:val="annotation reference"/>
    <w:basedOn w:val="Standardnpsmoodstavce"/>
    <w:unhideWhenUsed/>
    <w:rsid w:val="00FD52EA"/>
    <w:rPr>
      <w:sz w:val="16"/>
      <w:szCs w:val="16"/>
    </w:rPr>
  </w:style>
  <w:style w:type="paragraph" w:styleId="Textbubliny">
    <w:name w:val="Balloon Text"/>
    <w:basedOn w:val="Normln"/>
    <w:link w:val="TextbublinyChar"/>
    <w:rsid w:val="00FD5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D52EA"/>
  </w:style>
  <w:style w:type="character" w:customStyle="1" w:styleId="TextkomenteChar">
    <w:name w:val="Text komentáře Char"/>
    <w:basedOn w:val="Standardnpsmoodstavce"/>
    <w:link w:val="Textkomente"/>
    <w:rsid w:val="00FD52EA"/>
  </w:style>
  <w:style w:type="character" w:customStyle="1" w:styleId="TextnormyCharChar">
    <w:name w:val="Text normy Char Char"/>
    <w:semiHidden/>
    <w:rsid w:val="00FD52EA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FD52E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5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52EA"/>
    <w:rPr>
      <w:b/>
      <w:bCs/>
    </w:rPr>
  </w:style>
  <w:style w:type="character" w:customStyle="1" w:styleId="NadpislnkuChar">
    <w:name w:val="Nadpis článku Char"/>
    <w:link w:val="Nadpislnku"/>
    <w:rsid w:val="00FD52EA"/>
    <w:rPr>
      <w:b/>
    </w:rPr>
  </w:style>
  <w:style w:type="character" w:styleId="Sledovanodkaz">
    <w:name w:val="FollowedHyperlink"/>
    <w:basedOn w:val="Standardnpsmoodstavce"/>
    <w:semiHidden/>
    <w:unhideWhenUsed/>
    <w:rsid w:val="00FD5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7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Normy17i.dotx</Template>
  <TotalTime>6</TotalTime>
  <Pages>4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2</cp:revision>
  <cp:lastPrinted>2004-12-14T08:45:00Z</cp:lastPrinted>
  <dcterms:created xsi:type="dcterms:W3CDTF">2018-03-28T08:29:00Z</dcterms:created>
  <dcterms:modified xsi:type="dcterms:W3CDTF">2018-03-28T08:45:00Z</dcterms:modified>
</cp:coreProperties>
</file>