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70" w:rsidRPr="00244A62" w:rsidRDefault="005E5D70" w:rsidP="00AA7871">
      <w:pPr>
        <w:pStyle w:val="esknorma"/>
      </w:pPr>
      <w:r w:rsidRPr="00244A62">
        <w:t>TECHNICKÁ NORMALIZAČNÍ INFORMACE</w:t>
      </w:r>
      <w:r w:rsidRPr="00244A62">
        <w:rPr>
          <w:noProof/>
        </w:rPr>
        <w:t xml:space="preserve"> </w:t>
      </w:r>
    </w:p>
    <w:p w:rsidR="005E5D70" w:rsidRPr="00244A62" w:rsidRDefault="00C157AE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2A375D" w:rsidRPr="008720A9">
        <w:rPr>
          <w:sz w:val="16"/>
        </w:rPr>
        <w:t>35.240.60</w:t>
      </w:r>
      <w:r w:rsidR="002A375D">
        <w:rPr>
          <w:sz w:val="16"/>
        </w:rPr>
        <w:t>;</w:t>
      </w:r>
      <w:r w:rsidR="002A375D" w:rsidRPr="008720A9">
        <w:rPr>
          <w:sz w:val="16"/>
        </w:rPr>
        <w:t xml:space="preserve"> 03.220.01</w:t>
      </w:r>
      <w:r w:rsidR="005E5D70" w:rsidRPr="00244A62">
        <w:tab/>
      </w:r>
      <w:r w:rsidR="005E5D70" w:rsidRPr="00244A62">
        <w:tab/>
      </w:r>
      <w:r w:rsidR="005E5D70" w:rsidRPr="00244A62">
        <w:rPr>
          <w:b/>
        </w:rPr>
        <w:t xml:space="preserve">Měsíc </w:t>
      </w:r>
      <w:r w:rsidR="002A375D">
        <w:rPr>
          <w:b/>
        </w:rPr>
        <w:t>R</w:t>
      </w:r>
      <w:r w:rsidR="00146400">
        <w:rPr>
          <w:b/>
        </w:rPr>
        <w:t>ok</w:t>
      </w:r>
    </w:p>
    <w:tbl>
      <w:tblPr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5E5D70" w:rsidRPr="00244A62" w:rsidTr="002A375D">
        <w:trPr>
          <w:cantSplit/>
          <w:trHeight w:val="1701"/>
        </w:trPr>
        <w:tc>
          <w:tcPr>
            <w:tcW w:w="7797" w:type="dxa"/>
          </w:tcPr>
          <w:p w:rsidR="005E5D70" w:rsidRPr="00244A62" w:rsidRDefault="002A375D" w:rsidP="002A375D">
            <w:pPr>
              <w:pStyle w:val="1StrNN-3-23"/>
            </w:pPr>
            <w:r w:rsidRPr="008720A9">
              <w:t>Inteligentní dopravní systémy – Systémová architektura, taxonomie, terminologie a modelování dat – Požadavky na výcvik pro architekturu ITS</w:t>
            </w:r>
          </w:p>
        </w:tc>
        <w:tc>
          <w:tcPr>
            <w:tcW w:w="2126" w:type="dxa"/>
          </w:tcPr>
          <w:p w:rsidR="002A375D" w:rsidRPr="008720A9" w:rsidRDefault="002A375D" w:rsidP="002A375D">
            <w:pPr>
              <w:pStyle w:val="1StrCN"/>
              <w:rPr>
                <w:b w:val="0"/>
                <w:sz w:val="28"/>
              </w:rPr>
            </w:pPr>
            <w:r w:rsidRPr="008720A9">
              <w:t>TNI</w:t>
            </w:r>
            <w:r w:rsidRPr="008720A9">
              <w:br/>
              <w:t>ISO/TR 25104</w:t>
            </w:r>
            <w:r w:rsidRPr="008720A9">
              <w:br/>
            </w:r>
          </w:p>
          <w:p w:rsidR="005E5D70" w:rsidRPr="00244A62" w:rsidRDefault="002A375D" w:rsidP="002A375D">
            <w:pPr>
              <w:pStyle w:val="1StrTrZn"/>
            </w:pPr>
            <w:r w:rsidRPr="008720A9">
              <w:t>01 8211</w:t>
            </w:r>
          </w:p>
        </w:tc>
      </w:tr>
    </w:tbl>
    <w:p w:rsidR="005E5D70" w:rsidRPr="00244A62" w:rsidRDefault="005E5D70">
      <w:pPr>
        <w:pStyle w:val="Shodnost"/>
      </w:pPr>
    </w:p>
    <w:p w:rsidR="002A375D" w:rsidRPr="008720A9" w:rsidRDefault="002A375D" w:rsidP="002A375D">
      <w:pPr>
        <w:pStyle w:val="Cizojazynnzev"/>
      </w:pPr>
      <w:r w:rsidRPr="008720A9">
        <w:t xml:space="preserve">Intelligent transport systems – System architecture, taxonomy, terminology and data modelling – </w:t>
      </w:r>
      <w:r>
        <w:t>Training requirements</w:t>
      </w:r>
      <w:r>
        <w:br/>
      </w:r>
      <w:r w:rsidRPr="008720A9">
        <w:t>for ITS architecture</w:t>
      </w:r>
    </w:p>
    <w:p w:rsidR="002A375D" w:rsidRPr="008720A9" w:rsidRDefault="002A375D" w:rsidP="002A375D">
      <w:pPr>
        <w:pStyle w:val="Cizojazynnzev"/>
        <w:spacing w:after="840"/>
      </w:pPr>
      <w:r w:rsidRPr="008720A9">
        <w:t>Syst</w:t>
      </w:r>
      <w:r w:rsidRPr="008720A9">
        <w:rPr>
          <w:rFonts w:cs="Arial"/>
        </w:rPr>
        <w:t>è</w:t>
      </w:r>
      <w:r w:rsidRPr="008720A9">
        <w:t>mes intelligentes de transport – Architecture, taxonomie, terminologie et m</w:t>
      </w:r>
      <w:r>
        <w:t>odélation de données, relativem</w:t>
      </w:r>
      <w:r>
        <w:br/>
      </w:r>
      <w:r w:rsidRPr="008720A9">
        <w:t>aux syst</w:t>
      </w:r>
      <w:r w:rsidRPr="008720A9">
        <w:rPr>
          <w:rFonts w:cs="Arial"/>
        </w:rPr>
        <w:t>èmes – Exigences de formation pour une architecture ITS</w:t>
      </w:r>
    </w:p>
    <w:p w:rsidR="005E5D70" w:rsidRPr="00244A62" w:rsidRDefault="002A375D" w:rsidP="002A375D">
      <w:pPr>
        <w:pStyle w:val="Textnormy"/>
      </w:pPr>
      <w:r w:rsidRPr="00752BBA">
        <w:rPr>
          <w:rFonts w:cs="Arial"/>
        </w:rPr>
        <w:t xml:space="preserve">Tato technická normalizační informace přejímá dokument informativního charakteru, technickou zprávu </w:t>
      </w:r>
      <w:r>
        <w:rPr>
          <w:rFonts w:cs="Arial"/>
        </w:rPr>
        <w:br/>
      </w:r>
      <w:r w:rsidRPr="00752BBA">
        <w:rPr>
          <w:rFonts w:cs="Arial"/>
        </w:rPr>
        <w:t>ISO/TR 25104:2008, vypracovaný v souladu se směrnicemi ISO/IEC, část 1. Překlad byl zajištěn Českou agenturou pro standardizaci.</w:t>
      </w:r>
      <w:r w:rsidR="005E6642" w:rsidRPr="00244A6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9685020</wp:posOffset>
                </wp:positionV>
                <wp:extent cx="6299835" cy="635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6B2DB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62.6pt" to="547.1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GE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5E5D70" w:rsidRPr="00244A62" w:rsidRDefault="005E5D70">
      <w:pPr>
        <w:pStyle w:val="Textnormy"/>
        <w:tabs>
          <w:tab w:val="right" w:pos="9923"/>
        </w:tabs>
      </w:pPr>
    </w:p>
    <w:p w:rsidR="005E5D70" w:rsidRPr="00244A62" w:rsidRDefault="005E5D70">
      <w:pPr>
        <w:pStyle w:val="Textnormy"/>
        <w:tabs>
          <w:tab w:val="right" w:pos="9923"/>
        </w:tabs>
        <w:sectPr w:rsidR="005E5D70" w:rsidRPr="00244A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2A375D" w:rsidRDefault="002A375D" w:rsidP="002A375D">
      <w:pPr>
        <w:pStyle w:val="Nadpiskapitoly"/>
        <w:spacing w:before="0"/>
      </w:pPr>
      <w:r>
        <w:lastRenderedPageBreak/>
        <w:t>Národní předmluva</w:t>
      </w:r>
    </w:p>
    <w:p w:rsidR="002A375D" w:rsidRPr="000B301C" w:rsidRDefault="002A375D" w:rsidP="002A375D">
      <w:pPr>
        <w:pStyle w:val="Nadpislnku"/>
      </w:pPr>
      <w:r w:rsidRPr="000B301C">
        <w:rPr>
          <w:rFonts w:cs="Arial"/>
        </w:rPr>
        <w:t>Upozornění</w:t>
      </w:r>
      <w:r w:rsidRPr="000B301C">
        <w:rPr>
          <w:rFonts w:cs="Arial"/>
          <w:i/>
        </w:rPr>
        <w:t xml:space="preserve"> </w:t>
      </w:r>
      <w:r w:rsidRPr="000B301C">
        <w:rPr>
          <w:rFonts w:cs="Arial"/>
        </w:rPr>
        <w:t>na používání této TNI</w:t>
      </w:r>
    </w:p>
    <w:p w:rsidR="002A375D" w:rsidRPr="000B301C" w:rsidRDefault="002A375D" w:rsidP="002A375D">
      <w:pPr>
        <w:pStyle w:val="Textnormy"/>
      </w:pPr>
      <w:r w:rsidRPr="000B301C">
        <w:t>Technická zpráva (TR) je dokument informativního charakteru zpřístupněný ISO</w:t>
      </w:r>
      <w:r w:rsidR="00E65035">
        <w:t xml:space="preserve"> nejméně v jednom z oficiálních jazyků</w:t>
      </w:r>
      <w:r w:rsidRPr="000B301C">
        <w:t>, vypracovaný technickými orgány a schválený prostou většinou hlasů národních členů ISO. Technická zpráva poskytuje informace o</w:t>
      </w:r>
      <w:r w:rsidR="00E65035">
        <w:t xml:space="preserve"> technickém obsahu</w:t>
      </w:r>
      <w:r w:rsidRPr="000B301C">
        <w:t xml:space="preserve"> normalizačních prací.</w:t>
      </w:r>
    </w:p>
    <w:p w:rsidR="002A375D" w:rsidRPr="000B301C" w:rsidRDefault="002A375D" w:rsidP="002A375D">
      <w:pPr>
        <w:pStyle w:val="Textnormy"/>
        <w:rPr>
          <w:rFonts w:cs="Arial"/>
        </w:rPr>
      </w:pPr>
      <w:r w:rsidRPr="000B301C">
        <w:t xml:space="preserve">K technické zprávě se nevydávají změny, ale v případě nutnosti se nahrazuje novým vydáním. Možné jsou však opravy vydávané </w:t>
      </w:r>
      <w:r w:rsidRPr="000B301C">
        <w:rPr>
          <w:rFonts w:cs="Arial"/>
        </w:rPr>
        <w:t>Ústředním sekretariátem ISO.</w:t>
      </w:r>
    </w:p>
    <w:p w:rsidR="002A375D" w:rsidRPr="000B301C" w:rsidRDefault="002A375D" w:rsidP="002A375D">
      <w:pPr>
        <w:pStyle w:val="Nadpislnku"/>
      </w:pPr>
      <w:r w:rsidRPr="000B301C">
        <w:t>Informace o citovaných dokumentech</w:t>
      </w:r>
    </w:p>
    <w:p w:rsidR="002A375D" w:rsidRPr="000B301C" w:rsidRDefault="002A375D" w:rsidP="002A375D">
      <w:pPr>
        <w:pStyle w:val="Textnormy"/>
      </w:pPr>
      <w:r w:rsidRPr="000B301C">
        <w:t>ISO 14813-1:2007</w:t>
      </w:r>
      <w:r w:rsidRPr="000B301C">
        <w:t> </w:t>
      </w:r>
      <w:r w:rsidRPr="000B301C">
        <w:t>zavedena v ČSN ISO 14813-1:2007 (01 8200) Inteligentní dopravní systémy – Model referenční architektury pro obor ITS – Část 1: Domény služeb, skupiny služeb a služby ITS</w:t>
      </w:r>
    </w:p>
    <w:p w:rsidR="002A375D" w:rsidRPr="000B301C" w:rsidRDefault="002A375D" w:rsidP="002A375D">
      <w:pPr>
        <w:pStyle w:val="Textnormy"/>
      </w:pPr>
      <w:r w:rsidRPr="000B301C">
        <w:t>ISO/TR 14813-2:2000</w:t>
      </w:r>
      <w:r w:rsidRPr="000B301C">
        <w:t> </w:t>
      </w:r>
      <w:r w:rsidRPr="000B301C">
        <w:t>dosud nezavedena</w:t>
      </w:r>
    </w:p>
    <w:p w:rsidR="002A375D" w:rsidRPr="000B301C" w:rsidRDefault="002A375D" w:rsidP="002A375D">
      <w:pPr>
        <w:pStyle w:val="Textnormy"/>
      </w:pPr>
      <w:r w:rsidRPr="000B301C">
        <w:t>ISO/IEC 19501</w:t>
      </w:r>
      <w:r w:rsidRPr="000B301C">
        <w:t> </w:t>
      </w:r>
      <w:r w:rsidRPr="000B301C">
        <w:t>dosud nezavedena</w:t>
      </w:r>
    </w:p>
    <w:p w:rsidR="002A375D" w:rsidRPr="000B301C" w:rsidRDefault="002A375D" w:rsidP="002A375D">
      <w:pPr>
        <w:pStyle w:val="Nadpislnku"/>
      </w:pPr>
      <w:r w:rsidRPr="000B301C">
        <w:t>Vypracování TNI</w:t>
      </w:r>
    </w:p>
    <w:p w:rsidR="002A375D" w:rsidRPr="000B301C" w:rsidRDefault="002A375D" w:rsidP="002A375D">
      <w:pPr>
        <w:pStyle w:val="Textnormy"/>
      </w:pPr>
      <w:r w:rsidRPr="000B301C">
        <w:t>Zpracovatel: SILMOS s.r.o. – CTN, IČO 45276293; spolupráce: KPM CONSULT a.s., Ing. Miloslav Věžník</w:t>
      </w:r>
    </w:p>
    <w:p w:rsidR="002A375D" w:rsidRPr="000B301C" w:rsidRDefault="002A375D" w:rsidP="002A375D">
      <w:pPr>
        <w:pStyle w:val="Textnormy"/>
      </w:pPr>
      <w:r w:rsidRPr="000B301C">
        <w:t>Technická normalizační komise: TNK 136 Dopravní telematika</w:t>
      </w:r>
    </w:p>
    <w:p w:rsidR="002A375D" w:rsidRPr="000B301C" w:rsidRDefault="002A375D" w:rsidP="002A375D">
      <w:pPr>
        <w:pStyle w:val="Textnormy"/>
      </w:pPr>
      <w:r w:rsidRPr="000B301C">
        <w:t>Pracovník České agentury pro standardizaci: Ing. Milan Dian</w:t>
      </w:r>
    </w:p>
    <w:p w:rsidR="002A375D" w:rsidRPr="000B301C" w:rsidRDefault="002A375D" w:rsidP="002A375D">
      <w:pPr>
        <w:pStyle w:val="Textnormy"/>
      </w:pPr>
      <w:r w:rsidRPr="000B301C"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2A375D" w:rsidRPr="008720A9" w:rsidRDefault="002A375D" w:rsidP="002A375D">
      <w:pPr>
        <w:pStyle w:val="Nadpiskapitoly"/>
        <w:pageBreakBefore/>
        <w:spacing w:before="0" w:after="0"/>
      </w:pPr>
      <w:r w:rsidRPr="008720A9">
        <w:lastRenderedPageBreak/>
        <w:t>TECHNICKÁ ZPRÁVA</w:t>
      </w:r>
    </w:p>
    <w:p w:rsidR="002A375D" w:rsidRDefault="002A375D" w:rsidP="006379FC">
      <w:pPr>
        <w:pStyle w:val="Nadpiskapitoly"/>
        <w:tabs>
          <w:tab w:val="left" w:pos="8364"/>
        </w:tabs>
        <w:spacing w:after="480"/>
        <w:rPr>
          <w:b w:val="0"/>
          <w:sz w:val="20"/>
        </w:rPr>
      </w:pPr>
      <w:r w:rsidRPr="008720A9">
        <w:rPr>
          <w:noProof/>
        </w:rPr>
        <w:t>Inteligentní dopravní systémy –</w:t>
      </w:r>
      <w:r w:rsidRPr="008720A9">
        <w:rPr>
          <w:noProof/>
        </w:rPr>
        <w:tab/>
      </w:r>
      <w:r w:rsidRPr="008720A9">
        <w:t>ISO/TR 25104</w:t>
      </w:r>
      <w:r w:rsidRPr="008720A9">
        <w:br/>
      </w:r>
      <w:r w:rsidRPr="008720A9">
        <w:rPr>
          <w:rFonts w:cs="Arial"/>
        </w:rPr>
        <w:t>Systémová architektura, taxonomie, terminologie</w:t>
      </w:r>
      <w:r w:rsidRPr="008720A9">
        <w:rPr>
          <w:sz w:val="20"/>
        </w:rPr>
        <w:tab/>
      </w:r>
      <w:r>
        <w:rPr>
          <w:b w:val="0"/>
          <w:sz w:val="20"/>
        </w:rPr>
        <w:t>První</w:t>
      </w:r>
      <w:r w:rsidRPr="008720A9">
        <w:rPr>
          <w:b w:val="0"/>
          <w:sz w:val="20"/>
        </w:rPr>
        <w:t xml:space="preserve"> vydání</w:t>
      </w:r>
      <w:r w:rsidRPr="008720A9">
        <w:rPr>
          <w:b w:val="0"/>
          <w:sz w:val="20"/>
        </w:rPr>
        <w:br/>
      </w:r>
      <w:r w:rsidRPr="008720A9">
        <w:rPr>
          <w:szCs w:val="24"/>
        </w:rPr>
        <w:t>a modelování dat – Požadavky na výcvik pro architekturu ITS</w:t>
      </w:r>
      <w:r w:rsidRPr="008720A9">
        <w:rPr>
          <w:b w:val="0"/>
          <w:sz w:val="20"/>
        </w:rPr>
        <w:tab/>
        <w:t>200</w:t>
      </w:r>
      <w:r>
        <w:rPr>
          <w:b w:val="0"/>
          <w:sz w:val="20"/>
        </w:rPr>
        <w:t>8</w:t>
      </w:r>
      <w:r w:rsidRPr="008720A9">
        <w:rPr>
          <w:b w:val="0"/>
          <w:sz w:val="20"/>
        </w:rPr>
        <w:t>-02-01</w:t>
      </w:r>
    </w:p>
    <w:p w:rsidR="006379FC" w:rsidRPr="006379FC" w:rsidRDefault="006379FC" w:rsidP="006379FC">
      <w:pPr>
        <w:pStyle w:val="Textnormy"/>
        <w:spacing w:after="840"/>
      </w:pPr>
      <w:r>
        <w:t>ICS 35.240.60; 03.220.01</w:t>
      </w:r>
    </w:p>
    <w:p w:rsidR="002A375D" w:rsidRPr="008720A9" w:rsidRDefault="002A375D" w:rsidP="002A375D">
      <w:pPr>
        <w:pStyle w:val="Nadpiskapitoly"/>
        <w:spacing w:before="0"/>
      </w:pPr>
      <w:r w:rsidRPr="008720A9">
        <w:t>Obsah</w:t>
      </w:r>
    </w:p>
    <w:p w:rsidR="002A375D" w:rsidRPr="008720A9" w:rsidRDefault="002A375D" w:rsidP="002A375D">
      <w:pPr>
        <w:pStyle w:val="Textnormy"/>
        <w:ind w:left="1418" w:firstLine="709"/>
        <w:jc w:val="right"/>
        <w:rPr>
          <w:sz w:val="18"/>
          <w:szCs w:val="18"/>
        </w:rPr>
      </w:pPr>
      <w:r w:rsidRPr="008720A9">
        <w:rPr>
          <w:sz w:val="18"/>
          <w:szCs w:val="18"/>
        </w:rPr>
        <w:t>Strana</w:t>
      </w:r>
    </w:p>
    <w:p w:rsidR="002A375D" w:rsidRDefault="002A375D" w:rsidP="002A375D">
      <w:pPr>
        <w:pStyle w:val="Obsah1"/>
        <w:rPr>
          <w:rFonts w:ascii="Times New Roman" w:hAnsi="Times New Roman"/>
          <w:sz w:val="24"/>
          <w:szCs w:val="24"/>
        </w:rPr>
      </w:pPr>
      <w:r>
        <w:rPr>
          <w:color w:val="0000FF"/>
        </w:rPr>
        <w:fldChar w:fldCharType="begin"/>
      </w:r>
      <w:r>
        <w:rPr>
          <w:color w:val="0000FF"/>
        </w:rPr>
        <w:instrText xml:space="preserve"> TOC \o "1-3" </w:instrText>
      </w:r>
      <w:r>
        <w:rPr>
          <w:color w:val="0000FF"/>
        </w:rPr>
        <w:fldChar w:fldCharType="separate"/>
      </w:r>
      <w:r>
        <w:t>Předmluva</w:t>
      </w:r>
      <w:r>
        <w:tab/>
      </w:r>
      <w:r>
        <w:fldChar w:fldCharType="begin"/>
      </w:r>
      <w:r>
        <w:instrText xml:space="preserve"> PAGEREF _Toc348594871 \h </w:instrText>
      </w:r>
      <w:r>
        <w:fldChar w:fldCharType="separate"/>
      </w:r>
      <w:r>
        <w:t>5</w:t>
      </w:r>
      <w:r>
        <w:fldChar w:fldCharType="end"/>
      </w:r>
    </w:p>
    <w:p w:rsidR="002A375D" w:rsidRDefault="002A375D" w:rsidP="002A375D">
      <w:pPr>
        <w:pStyle w:val="Obsah1"/>
        <w:rPr>
          <w:rFonts w:ascii="Times New Roman" w:hAnsi="Times New Roman"/>
          <w:sz w:val="24"/>
          <w:szCs w:val="24"/>
        </w:rPr>
      </w:pPr>
      <w:r>
        <w:t>Úvod</w:t>
      </w:r>
      <w:r>
        <w:tab/>
      </w:r>
      <w:r>
        <w:tab/>
      </w:r>
      <w:r>
        <w:fldChar w:fldCharType="begin"/>
      </w:r>
      <w:r>
        <w:instrText xml:space="preserve"> PAGEREF _Toc348594872 \h </w:instrText>
      </w:r>
      <w:r>
        <w:fldChar w:fldCharType="separate"/>
      </w:r>
      <w:r>
        <w:t>6</w:t>
      </w:r>
      <w:r>
        <w:fldChar w:fldCharType="end"/>
      </w:r>
    </w:p>
    <w:p w:rsidR="002A375D" w:rsidRDefault="002A375D" w:rsidP="002A375D">
      <w:pPr>
        <w:pStyle w:val="Obsah1"/>
        <w:rPr>
          <w:rFonts w:ascii="Times New Roman" w:hAnsi="Times New Roman"/>
          <w:sz w:val="24"/>
          <w:szCs w:val="24"/>
        </w:rPr>
      </w:pPr>
      <w:r w:rsidRPr="0085258D">
        <w:rPr>
          <w:b/>
        </w:rPr>
        <w:t>1</w:t>
      </w:r>
      <w:r>
        <w:tab/>
        <w:t>Předmět technické zprávy</w:t>
      </w:r>
      <w:r>
        <w:tab/>
      </w:r>
      <w:r>
        <w:fldChar w:fldCharType="begin"/>
      </w:r>
      <w:r>
        <w:instrText xml:space="preserve"> PAGEREF _Toc348594873 \h </w:instrText>
      </w:r>
      <w:r>
        <w:fldChar w:fldCharType="separate"/>
      </w:r>
      <w:r>
        <w:t>7</w:t>
      </w:r>
      <w:r>
        <w:fldChar w:fldCharType="end"/>
      </w:r>
    </w:p>
    <w:p w:rsidR="002A375D" w:rsidRDefault="002A375D" w:rsidP="002A375D">
      <w:pPr>
        <w:pStyle w:val="Obsah1"/>
        <w:rPr>
          <w:rFonts w:ascii="Times New Roman" w:hAnsi="Times New Roman"/>
          <w:sz w:val="24"/>
          <w:szCs w:val="24"/>
        </w:rPr>
      </w:pPr>
      <w:r w:rsidRPr="0085258D">
        <w:rPr>
          <w:b/>
        </w:rPr>
        <w:t>2</w:t>
      </w:r>
      <w:r>
        <w:tab/>
        <w:t>Citované dokumenty</w:t>
      </w:r>
      <w:r>
        <w:tab/>
      </w:r>
      <w:r>
        <w:fldChar w:fldCharType="begin"/>
      </w:r>
      <w:r>
        <w:instrText xml:space="preserve"> PAGEREF _Toc348594874 \h </w:instrText>
      </w:r>
      <w:r>
        <w:fldChar w:fldCharType="separate"/>
      </w:r>
      <w:r>
        <w:t>7</w:t>
      </w:r>
      <w:r>
        <w:fldChar w:fldCharType="end"/>
      </w:r>
    </w:p>
    <w:p w:rsidR="002A375D" w:rsidRDefault="002A375D" w:rsidP="00123337">
      <w:pPr>
        <w:pStyle w:val="Obsah1"/>
        <w:rPr>
          <w:rFonts w:ascii="Times New Roman" w:hAnsi="Times New Roman"/>
          <w:sz w:val="24"/>
          <w:szCs w:val="24"/>
        </w:rPr>
      </w:pPr>
      <w:r w:rsidRPr="0085258D">
        <w:rPr>
          <w:b/>
        </w:rPr>
        <w:t>3</w:t>
      </w:r>
      <w:r>
        <w:tab/>
        <w:t>Termíny a definice</w:t>
      </w:r>
      <w:r>
        <w:tab/>
      </w:r>
      <w:r>
        <w:fldChar w:fldCharType="begin"/>
      </w:r>
      <w:r>
        <w:instrText xml:space="preserve"> PAGEREF _Toc348594875 \h </w:instrText>
      </w:r>
      <w:r>
        <w:fldChar w:fldCharType="separate"/>
      </w:r>
      <w:r>
        <w:t>7</w:t>
      </w:r>
      <w:r>
        <w:fldChar w:fldCharType="end"/>
      </w:r>
    </w:p>
    <w:p w:rsidR="002A375D" w:rsidRDefault="002A375D" w:rsidP="002A375D">
      <w:pPr>
        <w:pStyle w:val="Obsah1"/>
        <w:rPr>
          <w:rFonts w:ascii="Times New Roman" w:hAnsi="Times New Roman"/>
          <w:sz w:val="24"/>
          <w:szCs w:val="24"/>
        </w:rPr>
      </w:pPr>
      <w:r w:rsidRPr="0085258D">
        <w:rPr>
          <w:b/>
        </w:rPr>
        <w:t>4</w:t>
      </w:r>
      <w:r>
        <w:tab/>
        <w:t>Značky a zkratky</w:t>
      </w:r>
      <w:r>
        <w:tab/>
      </w:r>
      <w:r>
        <w:fldChar w:fldCharType="begin"/>
      </w:r>
      <w:r>
        <w:instrText xml:space="preserve"> PAGEREF _Toc348594876 \h </w:instrText>
      </w:r>
      <w:r>
        <w:fldChar w:fldCharType="separate"/>
      </w:r>
      <w:r>
        <w:t>7</w:t>
      </w:r>
      <w:r>
        <w:fldChar w:fldCharType="end"/>
      </w:r>
    </w:p>
    <w:p w:rsidR="002A375D" w:rsidRDefault="002A375D" w:rsidP="002A375D">
      <w:pPr>
        <w:pStyle w:val="Obsah1"/>
      </w:pPr>
      <w:r>
        <w:t xml:space="preserve">atd. </w:t>
      </w:r>
    </w:p>
    <w:p w:rsidR="002A375D" w:rsidRDefault="002A375D" w:rsidP="002A375D">
      <w:pPr>
        <w:pStyle w:val="Obsah1"/>
        <w:rPr>
          <w:rFonts w:ascii="Times New Roman" w:hAnsi="Times New Roman"/>
          <w:sz w:val="24"/>
          <w:szCs w:val="24"/>
        </w:rPr>
      </w:pPr>
      <w:r>
        <w:t>Bibliografie</w:t>
      </w:r>
      <w:r>
        <w:tab/>
        <w:t>13</w:t>
      </w:r>
    </w:p>
    <w:p w:rsidR="002A375D" w:rsidRDefault="002A375D" w:rsidP="002A375D">
      <w:pPr>
        <w:pStyle w:val="Textnormy"/>
        <w:rPr>
          <w:rFonts w:eastAsia="Batang"/>
        </w:rPr>
      </w:pPr>
      <w:r>
        <w:fldChar w:fldCharType="end"/>
      </w:r>
    </w:p>
    <w:p w:rsidR="002A375D" w:rsidRPr="008D2536" w:rsidRDefault="002A375D" w:rsidP="002A375D">
      <w:pPr>
        <w:pStyle w:val="Textnormy"/>
        <w:rPr>
          <w:rFonts w:eastAsia="Batang"/>
        </w:rPr>
      </w:pPr>
    </w:p>
    <w:tbl>
      <w:tblPr>
        <w:tblW w:w="0" w:type="auto"/>
        <w:tblInd w:w="-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"/>
        <w:gridCol w:w="8789"/>
      </w:tblGrid>
      <w:tr w:rsidR="006119FB" w:rsidRPr="00AC0FA5" w:rsidTr="00CF2B1E">
        <w:tc>
          <w:tcPr>
            <w:tcW w:w="1101" w:type="dxa"/>
          </w:tcPr>
          <w:p w:rsidR="006119FB" w:rsidRPr="00AC0FA5" w:rsidRDefault="006119FB" w:rsidP="00CF2B1E">
            <w:pPr>
              <w:pStyle w:val="Textnormy"/>
              <w:framePr w:hSpace="142" w:wrap="around" w:hAnchor="page" w:x="1022" w:yAlign="bottom"/>
              <w:rPr>
                <w:b/>
              </w:rPr>
            </w:pPr>
            <w:bookmarkStart w:id="0" w:name="_Toc348594871"/>
            <w:r w:rsidRPr="00AC0FA5">
              <w:rPr>
                <w:noProof/>
              </w:rPr>
              <w:drawing>
                <wp:inline distT="0" distB="0" distL="0" distR="0" wp14:anchorId="4D6F5A49" wp14:editId="43E780B4">
                  <wp:extent cx="498475" cy="440690"/>
                  <wp:effectExtent l="0" t="0" r="0" b="0"/>
                  <wp:docPr id="2" name="obrázek 3" descr="Logo005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005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6119FB" w:rsidRPr="00AC0FA5" w:rsidRDefault="006119FB" w:rsidP="00CF2B1E">
            <w:pPr>
              <w:pStyle w:val="Textnormy"/>
              <w:spacing w:before="480" w:after="200"/>
              <w:rPr>
                <w:b/>
              </w:rPr>
            </w:pPr>
            <w:r w:rsidRPr="00AC0FA5">
              <w:rPr>
                <w:b/>
              </w:rPr>
              <w:t>DOKUMENT CHRÁNĚNÝ COPYRIGHTEM</w:t>
            </w:r>
          </w:p>
        </w:tc>
      </w:tr>
    </w:tbl>
    <w:p w:rsidR="006119FB" w:rsidRPr="00AC0FA5" w:rsidRDefault="006119FB" w:rsidP="006119FB">
      <w:pPr>
        <w:pStyle w:val="Textnormy"/>
        <w:framePr w:hSpace="142" w:wrap="around" w:hAnchor="page" w:x="1022" w:yAlign="bottom"/>
        <w:spacing w:after="60"/>
        <w:rPr>
          <w:sz w:val="16"/>
        </w:rPr>
      </w:pPr>
      <w:r w:rsidRPr="00AC0FA5">
        <w:rPr>
          <w:sz w:val="16"/>
        </w:rPr>
        <w:t>© ISO 20</w:t>
      </w:r>
      <w:r>
        <w:rPr>
          <w:sz w:val="16"/>
        </w:rPr>
        <w:t>08</w:t>
      </w:r>
    </w:p>
    <w:p w:rsidR="006119FB" w:rsidRPr="005666FF" w:rsidRDefault="006119FB" w:rsidP="006119FB">
      <w:pPr>
        <w:pStyle w:val="Textnormy"/>
        <w:framePr w:hSpace="142" w:wrap="around" w:hAnchor="page" w:x="1022" w:yAlign="bottom"/>
        <w:spacing w:after="60"/>
        <w:rPr>
          <w:sz w:val="16"/>
          <w:szCs w:val="16"/>
        </w:rPr>
      </w:pPr>
      <w:r w:rsidRPr="005666FF">
        <w:rPr>
          <w:rFonts w:cs="Arial"/>
          <w:sz w:val="16"/>
          <w:szCs w:val="16"/>
        </w:rPr>
        <w:t xml:space="preserve">Veškerá práva vyhrazena. Žádná část této publikace nesmí být, není-li specifikováno jinak nebo nepožaduje-li se to v souvislosti s její </w:t>
      </w:r>
      <w:r w:rsidRPr="005666FF">
        <w:rPr>
          <w:rFonts w:cs="Arial"/>
          <w:sz w:val="16"/>
          <w:szCs w:val="16"/>
        </w:rPr>
        <w:br/>
        <w:t xml:space="preserve">implementací, reprodukována nebo používána v jakékoliv formě nebo jakýmkoliv způsobem, elektronickým ani mechanickým, včetně </w:t>
      </w:r>
      <w:r w:rsidRPr="005666FF">
        <w:rPr>
          <w:rFonts w:cs="Arial"/>
          <w:sz w:val="16"/>
          <w:szCs w:val="16"/>
        </w:rPr>
        <w:br/>
        <w:t>pořizování fotokopií nebo zveřejňování na internetu nebo intranetu, bez předchozího písemného souhlasu. O souhlas lze požádat buď ISO na níže uvedené adrese, nebo členskou organizaci ISO v zemi žadatele.</w:t>
      </w:r>
    </w:p>
    <w:p w:rsidR="006119FB" w:rsidRPr="00AE18AC" w:rsidRDefault="006119FB" w:rsidP="006119FB">
      <w:pPr>
        <w:pStyle w:val="Textnormy"/>
        <w:framePr w:hSpace="142" w:wrap="around" w:hAnchor="page" w:x="1022" w:yAlign="bottom"/>
        <w:spacing w:after="0"/>
        <w:ind w:left="284"/>
        <w:rPr>
          <w:sz w:val="16"/>
          <w:szCs w:val="16"/>
        </w:rPr>
      </w:pPr>
      <w:r w:rsidRPr="00AE18AC">
        <w:rPr>
          <w:sz w:val="16"/>
          <w:szCs w:val="16"/>
        </w:rPr>
        <w:t>ISO copyright office</w:t>
      </w:r>
    </w:p>
    <w:p w:rsidR="006119FB" w:rsidRPr="00AE18AC" w:rsidRDefault="006119FB" w:rsidP="006119FB">
      <w:pPr>
        <w:pStyle w:val="Textnormy"/>
        <w:framePr w:hSpace="142" w:wrap="around" w:hAnchor="page" w:x="1022" w:yAlign="bottom"/>
        <w:spacing w:after="0"/>
        <w:ind w:left="284"/>
        <w:rPr>
          <w:sz w:val="16"/>
          <w:szCs w:val="16"/>
        </w:rPr>
      </w:pPr>
      <w:r w:rsidRPr="00AE18AC">
        <w:rPr>
          <w:sz w:val="16"/>
          <w:szCs w:val="16"/>
        </w:rPr>
        <w:t>CP 401</w:t>
      </w:r>
      <w:r>
        <w:rPr>
          <w:sz w:val="16"/>
          <w:szCs w:val="16"/>
        </w:rPr>
        <w:t xml:space="preserve"> </w:t>
      </w:r>
      <w:r w:rsidRPr="00AE18AC">
        <w:rPr>
          <w:sz w:val="16"/>
          <w:szCs w:val="16"/>
        </w:rPr>
        <w:sym w:font="Symbol" w:char="F0B7"/>
      </w:r>
      <w:r>
        <w:rPr>
          <w:sz w:val="16"/>
          <w:szCs w:val="16"/>
        </w:rPr>
        <w:t xml:space="preserve"> </w:t>
      </w:r>
      <w:r w:rsidRPr="00AE18AC">
        <w:rPr>
          <w:sz w:val="16"/>
          <w:szCs w:val="16"/>
        </w:rPr>
        <w:t>C</w:t>
      </w:r>
      <w:r>
        <w:rPr>
          <w:sz w:val="16"/>
          <w:szCs w:val="16"/>
        </w:rPr>
        <w:t>h</w:t>
      </w:r>
      <w:r w:rsidRPr="00AE18AC">
        <w:rPr>
          <w:sz w:val="16"/>
          <w:szCs w:val="16"/>
        </w:rPr>
        <w:t xml:space="preserve">. </w:t>
      </w:r>
      <w:proofErr w:type="gramStart"/>
      <w:r w:rsidRPr="00AE18AC">
        <w:rPr>
          <w:sz w:val="16"/>
          <w:szCs w:val="16"/>
        </w:rPr>
        <w:t>de</w:t>
      </w:r>
      <w:proofErr w:type="gramEnd"/>
      <w:r w:rsidRPr="00AE18AC">
        <w:rPr>
          <w:sz w:val="16"/>
          <w:szCs w:val="16"/>
        </w:rPr>
        <w:t xml:space="preserve"> Blandonnet 8 </w:t>
      </w:r>
    </w:p>
    <w:p w:rsidR="006119FB" w:rsidRPr="00AE18AC" w:rsidRDefault="006119FB" w:rsidP="006119FB">
      <w:pPr>
        <w:pStyle w:val="Textnormy"/>
        <w:framePr w:hSpace="142" w:wrap="around" w:hAnchor="page" w:x="1022" w:yAlign="bottom"/>
        <w:spacing w:after="0"/>
        <w:ind w:left="284"/>
        <w:rPr>
          <w:sz w:val="16"/>
          <w:szCs w:val="16"/>
        </w:rPr>
      </w:pPr>
      <w:r>
        <w:rPr>
          <w:sz w:val="16"/>
          <w:szCs w:val="16"/>
        </w:rPr>
        <w:t>CH-1214 Vernier, Geneva</w:t>
      </w:r>
    </w:p>
    <w:p w:rsidR="006119FB" w:rsidRPr="00AE18AC" w:rsidRDefault="006119FB" w:rsidP="006119FB">
      <w:pPr>
        <w:pStyle w:val="Textnormy"/>
        <w:framePr w:hSpace="142" w:wrap="around" w:hAnchor="page" w:x="1022" w:yAlign="bottom"/>
        <w:spacing w:after="0"/>
        <w:ind w:left="284"/>
        <w:rPr>
          <w:sz w:val="16"/>
          <w:szCs w:val="16"/>
        </w:rPr>
      </w:pPr>
      <w:r w:rsidRPr="00AE18AC">
        <w:rPr>
          <w:sz w:val="16"/>
          <w:szCs w:val="16"/>
        </w:rPr>
        <w:t>Tel.</w:t>
      </w:r>
      <w:r>
        <w:rPr>
          <w:sz w:val="16"/>
          <w:szCs w:val="16"/>
        </w:rPr>
        <w:t>:</w:t>
      </w:r>
      <w:r w:rsidRPr="00AE18AC">
        <w:rPr>
          <w:sz w:val="16"/>
          <w:szCs w:val="16"/>
        </w:rPr>
        <w:t xml:space="preserve"> + 41 22 749 01 11</w:t>
      </w:r>
    </w:p>
    <w:p w:rsidR="006119FB" w:rsidRDefault="006119FB" w:rsidP="006119FB">
      <w:pPr>
        <w:pStyle w:val="Textnormy"/>
        <w:framePr w:hSpace="142" w:wrap="around" w:hAnchor="page" w:x="1022" w:yAlign="bottom"/>
        <w:spacing w:after="0"/>
        <w:ind w:left="284"/>
        <w:rPr>
          <w:sz w:val="16"/>
          <w:szCs w:val="16"/>
        </w:rPr>
      </w:pPr>
      <w:r w:rsidRPr="00AE18AC">
        <w:rPr>
          <w:sz w:val="16"/>
          <w:szCs w:val="16"/>
        </w:rPr>
        <w:t>Fax</w:t>
      </w:r>
      <w:r>
        <w:rPr>
          <w:sz w:val="16"/>
          <w:szCs w:val="16"/>
        </w:rPr>
        <w:t>:</w:t>
      </w:r>
      <w:r w:rsidRPr="00AE18AC">
        <w:rPr>
          <w:sz w:val="16"/>
          <w:szCs w:val="16"/>
        </w:rPr>
        <w:t xml:space="preserve"> + 41 22 749 09 47</w:t>
      </w:r>
    </w:p>
    <w:p w:rsidR="006119FB" w:rsidRPr="006119FB" w:rsidRDefault="006119FB" w:rsidP="006119FB">
      <w:pPr>
        <w:pStyle w:val="Textnormy"/>
        <w:framePr w:hSpace="142" w:wrap="around" w:hAnchor="page" w:x="1022" w:yAlign="bottom"/>
        <w:spacing w:after="0"/>
        <w:ind w:left="284"/>
        <w:rPr>
          <w:sz w:val="16"/>
          <w:szCs w:val="16"/>
        </w:rPr>
      </w:pPr>
      <w:r w:rsidRPr="006119FB">
        <w:rPr>
          <w:sz w:val="16"/>
          <w:szCs w:val="16"/>
        </w:rPr>
        <w:t xml:space="preserve">E-mail: </w:t>
      </w:r>
      <w:hyperlink r:id="rId14" w:history="1">
        <w:r w:rsidRPr="006119FB">
          <w:rPr>
            <w:rStyle w:val="Hypertextovodkaz"/>
            <w:sz w:val="16"/>
            <w:szCs w:val="16"/>
          </w:rPr>
          <w:t>copyright@iso.org</w:t>
        </w:r>
      </w:hyperlink>
      <w:r w:rsidRPr="006119FB">
        <w:rPr>
          <w:sz w:val="16"/>
          <w:szCs w:val="16"/>
        </w:rPr>
        <w:t xml:space="preserve"> </w:t>
      </w:r>
    </w:p>
    <w:p w:rsidR="006119FB" w:rsidRPr="006119FB" w:rsidRDefault="006119FB" w:rsidP="006119FB">
      <w:pPr>
        <w:pStyle w:val="Textnormy"/>
        <w:framePr w:hSpace="142" w:wrap="around" w:hAnchor="page" w:x="1022" w:yAlign="bottom"/>
        <w:spacing w:after="0"/>
        <w:ind w:left="284"/>
        <w:rPr>
          <w:sz w:val="16"/>
          <w:szCs w:val="16"/>
        </w:rPr>
      </w:pPr>
      <w:r w:rsidRPr="006119FB">
        <w:rPr>
          <w:sz w:val="16"/>
          <w:szCs w:val="16"/>
        </w:rPr>
        <w:t xml:space="preserve">Web: </w:t>
      </w:r>
      <w:hyperlink r:id="rId15" w:history="1">
        <w:r w:rsidRPr="006119FB">
          <w:rPr>
            <w:rStyle w:val="Hypertextovodkaz"/>
            <w:sz w:val="16"/>
            <w:szCs w:val="16"/>
          </w:rPr>
          <w:t>www.iso.org</w:t>
        </w:r>
      </w:hyperlink>
      <w:r w:rsidRPr="006119FB">
        <w:rPr>
          <w:sz w:val="16"/>
          <w:szCs w:val="16"/>
        </w:rPr>
        <w:t xml:space="preserve"> </w:t>
      </w:r>
    </w:p>
    <w:p w:rsidR="006119FB" w:rsidRPr="00BE6525" w:rsidRDefault="006119FB" w:rsidP="006119FB">
      <w:pPr>
        <w:pStyle w:val="Textnormy"/>
        <w:framePr w:hSpace="142" w:wrap="around" w:hAnchor="page" w:x="1022" w:yAlign="bottom"/>
        <w:spacing w:before="60" w:after="0"/>
        <w:rPr>
          <w:sz w:val="16"/>
          <w:szCs w:val="16"/>
        </w:rPr>
      </w:pPr>
      <w:r>
        <w:rPr>
          <w:sz w:val="16"/>
          <w:szCs w:val="16"/>
        </w:rPr>
        <w:t>Publikováno ve Švýcarsku</w:t>
      </w:r>
    </w:p>
    <w:p w:rsidR="002A375D" w:rsidRPr="008720A9" w:rsidRDefault="002A375D" w:rsidP="002A375D">
      <w:pPr>
        <w:pStyle w:val="Nadpis1"/>
        <w:pageBreakBefore/>
        <w:spacing w:before="0"/>
      </w:pPr>
      <w:r w:rsidRPr="008720A9">
        <w:lastRenderedPageBreak/>
        <w:t>Předmluva</w:t>
      </w:r>
      <w:bookmarkEnd w:id="0"/>
    </w:p>
    <w:p w:rsidR="002A375D" w:rsidRPr="002A375D" w:rsidRDefault="002A375D" w:rsidP="002A375D">
      <w:pPr>
        <w:pStyle w:val="Textnormy"/>
      </w:pPr>
      <w:r w:rsidRPr="002A375D">
        <w:t xml:space="preserve">ISO (Mezinárodní organizace pro normalizaci) je celosvětová federace národních normalizačních orgánů (členů </w:t>
      </w:r>
      <w:r w:rsidRPr="002A375D">
        <w:rPr>
          <w:spacing w:val="-2"/>
        </w:rPr>
        <w:t>ISO). Mezinárodní normy obvykle vypracovávají technické komise ISO. Každý člen ISO, který se zajímá o předmět,</w:t>
      </w:r>
      <w:r w:rsidRPr="002A375D">
        <w:t xml:space="preserve"> pro který byla vytvořena technická komise, má právo být v této technické komisi zastoupen. Práce se zúčastňují také vládní i nevládní mezinárodní organizace, s nimiž ISO navázala pracovní styk. ISO úzce spolupracuje </w:t>
      </w:r>
      <w:r>
        <w:br/>
      </w:r>
      <w:r w:rsidRPr="002A375D">
        <w:t>s Mezinárodní elektrotechnickou komisí (IEC) ve všech záležitostech normalizace v elektrotechnice.</w:t>
      </w:r>
    </w:p>
    <w:p w:rsidR="002A375D" w:rsidRPr="002A375D" w:rsidRDefault="002A375D" w:rsidP="002A375D">
      <w:pPr>
        <w:pStyle w:val="Textnormy"/>
      </w:pPr>
      <w:r w:rsidRPr="002A375D">
        <w:t xml:space="preserve">Postupy použité při tvorbě tohoto dokumentu a postupy určené pro jeho další udržování jsou popsány ve směrnicích ISO/IEC, část 1. Zejména se má věnovat pozornost rozdílným schvalovacím kritériím potřebným pro různé druhy dokumentů ISO. Tento dokument byl vypracován v souladu s redakčními pravidly uvedenými ve směrnicích ISO/IEC, část 2 (viz </w:t>
      </w:r>
      <w:hyperlink r:id="rId16" w:history="1">
        <w:r w:rsidRPr="002A375D">
          <w:rPr>
            <w:rStyle w:val="Hypertextovodkaz"/>
            <w:rFonts w:cs="Arial"/>
          </w:rPr>
          <w:t>www.iso.org/directives</w:t>
        </w:r>
      </w:hyperlink>
      <w:r w:rsidRPr="002A375D">
        <w:t>).</w:t>
      </w:r>
    </w:p>
    <w:p w:rsidR="002A375D" w:rsidRPr="002A375D" w:rsidRDefault="002A375D" w:rsidP="002A375D">
      <w:pPr>
        <w:pStyle w:val="Textnormy"/>
      </w:pPr>
      <w:r w:rsidRPr="002A375D">
        <w:t xml:space="preserve">Upozorňuje se na možnost, že některé prvky tohoto dokumentu mohou být předmětem patentových práv. ISO nelze činit odpovědnou za identifikaci jakéhokoliv nebo všech patentových práv. Podrobnosti o jakýchkoliv patentových právech identifikovaných během přípravy tohoto dokumentu budou uvedeny v úvodu a/nebo v seznamu patentových prohlášení obdržených ISO (viz </w:t>
      </w:r>
      <w:hyperlink r:id="rId17" w:history="1">
        <w:r w:rsidRPr="002A375D">
          <w:rPr>
            <w:rStyle w:val="Hypertextovodkaz"/>
            <w:rFonts w:cs="Arial"/>
          </w:rPr>
          <w:t>www.iso.org/patents</w:t>
        </w:r>
      </w:hyperlink>
      <w:r w:rsidRPr="002A375D">
        <w:t>).</w:t>
      </w:r>
    </w:p>
    <w:p w:rsidR="002A375D" w:rsidRPr="002A375D" w:rsidRDefault="002A375D" w:rsidP="002A375D">
      <w:pPr>
        <w:pStyle w:val="Textnormy"/>
      </w:pPr>
      <w:r w:rsidRPr="002A375D">
        <w:rPr>
          <w:rFonts w:cs="Arial"/>
        </w:rPr>
        <w:t>Jakýkoliv obchodní název použitý v tomto dokumentu se uvádí jako informace pro usnadnění práce uživatelů a neznamená schválení.</w:t>
      </w:r>
    </w:p>
    <w:p w:rsidR="002A375D" w:rsidRPr="002A375D" w:rsidRDefault="002A375D" w:rsidP="002A375D">
      <w:pPr>
        <w:pStyle w:val="Textnormy"/>
      </w:pPr>
      <w:r w:rsidRPr="002A375D">
        <w:t xml:space="preserve">Vysvětlení </w:t>
      </w:r>
      <w:r w:rsidRPr="002A375D">
        <w:rPr>
          <w:bCs/>
        </w:rPr>
        <w:t>nezávazného charakteru technických norem</w:t>
      </w:r>
      <w:r w:rsidRPr="002A375D">
        <w:t xml:space="preserve">, významu specifických termínů a výrazů ISO, které se vztahují k posuzování shody, jakož i informace o tom, jak ISO dodržuje principy </w:t>
      </w:r>
      <w:r w:rsidRPr="002A375D">
        <w:rPr>
          <w:bCs/>
        </w:rPr>
        <w:t>Světové obchodní organizace</w:t>
      </w:r>
      <w:r w:rsidRPr="002A375D">
        <w:t xml:space="preserve"> (WTO) týkající se technických překážek obchodu (TBT), jsou uvedeny na tomto odkazu URL:</w:t>
      </w:r>
      <w:r w:rsidRPr="002A375D">
        <w:tab/>
        <w:t xml:space="preserve"> </w:t>
      </w:r>
      <w:hyperlink r:id="rId18" w:history="1">
        <w:r w:rsidRPr="002A375D">
          <w:rPr>
            <w:rStyle w:val="Hypertextovodkaz"/>
            <w:rFonts w:cs="Arial"/>
          </w:rPr>
          <w:t>www.iso.org/iso/foreword.html</w:t>
        </w:r>
      </w:hyperlink>
      <w:r w:rsidRPr="002A375D">
        <w:t>.</w:t>
      </w:r>
    </w:p>
    <w:p w:rsidR="002A375D" w:rsidRDefault="008F17BA" w:rsidP="002A375D">
      <w:pPr>
        <w:pStyle w:val="Textnormy"/>
      </w:pPr>
      <w:r>
        <w:rPr>
          <w:rFonts w:cs="Arial"/>
        </w:rPr>
        <w:t>T</w:t>
      </w:r>
      <w:r w:rsidR="002A375D" w:rsidRPr="002A375D">
        <w:rPr>
          <w:rFonts w:cs="Arial"/>
        </w:rPr>
        <w:t xml:space="preserve">ento dokument </w:t>
      </w:r>
      <w:r>
        <w:rPr>
          <w:rFonts w:cs="Arial"/>
        </w:rPr>
        <w:t>vypracovala technická</w:t>
      </w:r>
      <w:r w:rsidR="002A375D" w:rsidRPr="002A375D">
        <w:rPr>
          <w:rFonts w:cs="Arial"/>
        </w:rPr>
        <w:t xml:space="preserve"> komise ISO/TC 2</w:t>
      </w:r>
      <w:r w:rsidR="002A375D" w:rsidRPr="002A375D">
        <w:t xml:space="preserve">04 </w:t>
      </w:r>
      <w:r w:rsidR="002A375D" w:rsidRPr="002A375D">
        <w:rPr>
          <w:i/>
        </w:rPr>
        <w:t>Inteligentní dopravní systémy</w:t>
      </w:r>
      <w:r w:rsidR="002A375D" w:rsidRPr="002A375D">
        <w:t>.</w:t>
      </w:r>
    </w:p>
    <w:p w:rsidR="008F17BA" w:rsidRPr="00AA57E5" w:rsidRDefault="008F17BA" w:rsidP="008F17BA">
      <w:pPr>
        <w:pStyle w:val="Textnormy"/>
      </w:pPr>
      <w:r w:rsidRPr="00AA57E5">
        <w:t>Jakákoli zpětná vazba nebo otázky týkající se tohoto dokumentu mají být adresovány národnímu normalizačnímu orgánu uživatele. Úplný sezna</w:t>
      </w:r>
      <w:bookmarkStart w:id="1" w:name="_GoBack"/>
      <w:bookmarkEnd w:id="1"/>
      <w:r w:rsidRPr="00AA57E5">
        <w:t xml:space="preserve">m těchto orgánů lze nalézt na adrese </w:t>
      </w:r>
      <w:hyperlink r:id="rId19" w:history="1">
        <w:r w:rsidRPr="00AA57E5">
          <w:rPr>
            <w:rStyle w:val="Hypertextovodkaz"/>
            <w:rFonts w:cs="Arial"/>
            <w:iCs/>
            <w:lang w:val="en-US"/>
          </w:rPr>
          <w:t>www.iso.org/members.html</w:t>
        </w:r>
      </w:hyperlink>
      <w:r w:rsidRPr="00AA57E5">
        <w:t>.</w:t>
      </w:r>
    </w:p>
    <w:p w:rsidR="008F17BA" w:rsidRPr="002A375D" w:rsidRDefault="008F17BA" w:rsidP="002A375D">
      <w:pPr>
        <w:pStyle w:val="Textnormy"/>
      </w:pPr>
    </w:p>
    <w:p w:rsidR="002A375D" w:rsidRPr="008720A9" w:rsidRDefault="002A375D" w:rsidP="002A375D">
      <w:pPr>
        <w:pStyle w:val="Nadpis1"/>
        <w:pageBreakBefore/>
        <w:spacing w:before="0"/>
      </w:pPr>
      <w:bookmarkStart w:id="2" w:name="_Toc4487158"/>
      <w:bookmarkStart w:id="3" w:name="_Toc233519695"/>
      <w:bookmarkStart w:id="4" w:name="_Toc348594872"/>
      <w:r w:rsidRPr="008720A9">
        <w:lastRenderedPageBreak/>
        <w:t>Úvod</w:t>
      </w:r>
      <w:bookmarkEnd w:id="2"/>
      <w:bookmarkEnd w:id="3"/>
      <w:bookmarkEnd w:id="4"/>
    </w:p>
    <w:p w:rsidR="002A375D" w:rsidRPr="005F0997" w:rsidRDefault="002A375D" w:rsidP="002A375D">
      <w:pPr>
        <w:pStyle w:val="Textnormy"/>
      </w:pPr>
      <w:r w:rsidRPr="0032187D">
        <w:rPr>
          <w:spacing w:val="-2"/>
        </w:rPr>
        <w:t>Cílem této technické zprávy je navrhnout obecné požadavky na výcvik dovedností potřebných k pochopení a vývoji</w:t>
      </w:r>
      <w:r w:rsidRPr="005F0997">
        <w:t xml:space="preserve"> modelů architektur pro inteligentní dopravní systémy (ITS).</w:t>
      </w:r>
    </w:p>
    <w:p w:rsidR="002A375D" w:rsidRPr="005F0997" w:rsidRDefault="002A375D" w:rsidP="002A375D">
      <w:pPr>
        <w:pStyle w:val="Textnormy"/>
        <w:rPr>
          <w:rFonts w:cs="Arial"/>
        </w:rPr>
      </w:pPr>
      <w:r w:rsidRPr="005F0997">
        <w:rPr>
          <w:rFonts w:cs="Arial"/>
        </w:rPr>
        <w:t xml:space="preserve">Tato technická zpráva byla zpracována, aby pomáhala organizacím při vývoji znalostí a dovedností vlastních zaměstnanců a pro organizace, jako jsou dodavatelé a objednatelé a také pro pomoc akademickým institucím při zpracování kurikul a sylabů. </w:t>
      </w:r>
    </w:p>
    <w:p w:rsidR="002A375D" w:rsidRPr="005F0997" w:rsidRDefault="002A375D" w:rsidP="002A375D">
      <w:pPr>
        <w:pStyle w:val="Textnormy"/>
        <w:rPr>
          <w:rFonts w:cs="Arial"/>
        </w:rPr>
      </w:pPr>
      <w:r w:rsidRPr="005F0997">
        <w:rPr>
          <w:rFonts w:cs="Arial"/>
        </w:rPr>
        <w:t>Zvolený přístup je návrhem taxonomie prvků znalostí z teorie a praxe z oblasti architektury ITS. Tento přístup byl již hojně využit v jiných oblastech, kde je často nazýván souhrn znalostí (Body of Knowledge [BOK])“, například BOK softwarového inženýrství a/nebo přímo SWEBOK (</w:t>
      </w:r>
      <w:r w:rsidRPr="005F0997">
        <w:rPr>
          <w:rFonts w:cs="Arial"/>
          <w:b/>
        </w:rPr>
        <w:t>S</w:t>
      </w:r>
      <w:r w:rsidRPr="005F0997">
        <w:rPr>
          <w:rFonts w:cs="Arial"/>
        </w:rPr>
        <w:t>oft</w:t>
      </w:r>
      <w:r w:rsidRPr="005F0997">
        <w:rPr>
          <w:rFonts w:cs="Arial"/>
          <w:b/>
        </w:rPr>
        <w:t>w</w:t>
      </w:r>
      <w:r w:rsidRPr="005F0997">
        <w:rPr>
          <w:rFonts w:cs="Arial"/>
        </w:rPr>
        <w:t xml:space="preserve">are </w:t>
      </w:r>
      <w:r w:rsidRPr="005F0997">
        <w:rPr>
          <w:rFonts w:cs="Arial"/>
          <w:b/>
        </w:rPr>
        <w:t>E</w:t>
      </w:r>
      <w:r w:rsidRPr="005F0997">
        <w:rPr>
          <w:rFonts w:cs="Arial"/>
        </w:rPr>
        <w:t xml:space="preserve">ngineering </w:t>
      </w:r>
      <w:r w:rsidRPr="005F0997">
        <w:rPr>
          <w:rFonts w:cs="Arial"/>
          <w:b/>
        </w:rPr>
        <w:t>B</w:t>
      </w:r>
      <w:r w:rsidRPr="005F0997">
        <w:rPr>
          <w:rFonts w:cs="Arial"/>
        </w:rPr>
        <w:t xml:space="preserve">ody </w:t>
      </w:r>
      <w:r w:rsidRPr="005F0997">
        <w:rPr>
          <w:rFonts w:cs="Arial"/>
          <w:b/>
        </w:rPr>
        <w:t>o</w:t>
      </w:r>
      <w:r w:rsidRPr="005F0997">
        <w:rPr>
          <w:rFonts w:cs="Arial"/>
        </w:rPr>
        <w:t xml:space="preserve">f </w:t>
      </w:r>
      <w:r w:rsidRPr="005F0997">
        <w:rPr>
          <w:rFonts w:cs="Arial"/>
          <w:b/>
        </w:rPr>
        <w:t>K</w:t>
      </w:r>
      <w:r w:rsidRPr="005F0997">
        <w:rPr>
          <w:rFonts w:cs="Arial"/>
        </w:rPr>
        <w:t>nowledge).</w:t>
      </w:r>
    </w:p>
    <w:p w:rsidR="002A375D" w:rsidRPr="008720A9" w:rsidRDefault="002A375D" w:rsidP="002A375D">
      <w:pPr>
        <w:pStyle w:val="Nadpis1"/>
        <w:pageBreakBefore/>
        <w:spacing w:before="0"/>
      </w:pPr>
      <w:bookmarkStart w:id="5" w:name="_Toc359251363"/>
      <w:bookmarkStart w:id="6" w:name="_Toc359251521"/>
      <w:bookmarkStart w:id="7" w:name="_Toc359251681"/>
      <w:bookmarkStart w:id="8" w:name="_Toc359251938"/>
      <w:bookmarkStart w:id="9" w:name="_Toc359252127"/>
      <w:bookmarkStart w:id="10" w:name="_Toc359252242"/>
      <w:bookmarkStart w:id="11" w:name="_Toc359252485"/>
      <w:bookmarkStart w:id="12" w:name="_Toc359252725"/>
      <w:bookmarkStart w:id="13" w:name="_Toc359252846"/>
      <w:bookmarkStart w:id="14" w:name="_Toc359252920"/>
      <w:bookmarkStart w:id="15" w:name="_Toc359283646"/>
      <w:bookmarkStart w:id="16" w:name="_Toc365965546"/>
      <w:bookmarkStart w:id="17" w:name="_Toc365967313"/>
      <w:bookmarkStart w:id="18" w:name="_Toc365968760"/>
      <w:bookmarkStart w:id="19" w:name="_Toc367082925"/>
      <w:bookmarkStart w:id="20" w:name="_Toc372429540"/>
      <w:bookmarkStart w:id="21" w:name="_Toc375302774"/>
      <w:bookmarkStart w:id="22" w:name="_Toc379098931"/>
      <w:bookmarkStart w:id="23" w:name="_Toc380735104"/>
      <w:bookmarkStart w:id="24" w:name="_Toc380735204"/>
      <w:bookmarkStart w:id="25" w:name="_Toc380825388"/>
      <w:bookmarkStart w:id="26" w:name="_Toc380827277"/>
      <w:bookmarkStart w:id="27" w:name="_Toc380886223"/>
      <w:bookmarkStart w:id="28" w:name="_Toc380886261"/>
      <w:bookmarkStart w:id="29" w:name="_Toc380886371"/>
      <w:bookmarkStart w:id="30" w:name="_Toc380886468"/>
      <w:bookmarkStart w:id="31" w:name="_Toc4487159"/>
      <w:bookmarkStart w:id="32" w:name="_Toc233519696"/>
      <w:bookmarkStart w:id="33" w:name="_Toc348594873"/>
      <w:r w:rsidRPr="008720A9">
        <w:lastRenderedPageBreak/>
        <w:t>1</w:t>
      </w:r>
      <w:r w:rsidRPr="008720A9">
        <w:t> </w:t>
      </w:r>
      <w:r w:rsidRPr="008720A9">
        <w:t xml:space="preserve">Předmět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8720A9">
        <w:t>technické zprávy</w:t>
      </w:r>
      <w:bookmarkEnd w:id="32"/>
      <w:bookmarkEnd w:id="33"/>
    </w:p>
    <w:p w:rsidR="002A375D" w:rsidRPr="005F0997" w:rsidRDefault="002A375D" w:rsidP="002A375D">
      <w:pPr>
        <w:pStyle w:val="Textnormy"/>
      </w:pPr>
      <w:r w:rsidRPr="005F0997">
        <w:t>Tato technická zpráva uvádí požadavky na vývoj obecného vzdělávání a výcvik pro výuku architektury ITS a získání dovedností k interpretaci a vývoji architektur ITS.</w:t>
      </w:r>
    </w:p>
    <w:p w:rsidR="002A375D" w:rsidRPr="005F0997" w:rsidRDefault="002A375D" w:rsidP="00020D05">
      <w:pPr>
        <w:pStyle w:val="Nadpis1"/>
      </w:pPr>
      <w:bookmarkStart w:id="34" w:name="_Toc359251364"/>
      <w:bookmarkStart w:id="35" w:name="_Toc359251522"/>
      <w:bookmarkStart w:id="36" w:name="_Toc359251682"/>
      <w:bookmarkStart w:id="37" w:name="_Toc359251939"/>
      <w:bookmarkStart w:id="38" w:name="_Toc359252128"/>
      <w:bookmarkStart w:id="39" w:name="_Toc359252243"/>
      <w:bookmarkStart w:id="40" w:name="_Toc359252486"/>
      <w:bookmarkStart w:id="41" w:name="_Toc359252726"/>
      <w:bookmarkStart w:id="42" w:name="_Toc359252847"/>
      <w:bookmarkStart w:id="43" w:name="_Toc359252921"/>
      <w:bookmarkStart w:id="44" w:name="_Toc359283647"/>
      <w:bookmarkStart w:id="45" w:name="_Toc365965547"/>
      <w:bookmarkStart w:id="46" w:name="_Toc365967314"/>
      <w:bookmarkStart w:id="47" w:name="_Toc365968761"/>
      <w:bookmarkStart w:id="48" w:name="_Toc367082926"/>
      <w:bookmarkStart w:id="49" w:name="_Toc372429541"/>
      <w:bookmarkStart w:id="50" w:name="_Toc375302775"/>
      <w:bookmarkStart w:id="51" w:name="_Toc379098932"/>
      <w:bookmarkStart w:id="52" w:name="_Toc380735105"/>
      <w:bookmarkStart w:id="53" w:name="_Toc380735205"/>
      <w:bookmarkStart w:id="54" w:name="_Toc380825389"/>
      <w:bookmarkStart w:id="55" w:name="_Toc380827278"/>
      <w:bookmarkStart w:id="56" w:name="_Toc380886224"/>
      <w:bookmarkStart w:id="57" w:name="_Toc380886262"/>
      <w:bookmarkStart w:id="58" w:name="_Toc380886372"/>
      <w:bookmarkStart w:id="59" w:name="_Toc380886469"/>
      <w:bookmarkStart w:id="60" w:name="_Toc4487160"/>
      <w:bookmarkStart w:id="61" w:name="_Toc233519697"/>
      <w:bookmarkStart w:id="62" w:name="_Toc348594874"/>
      <w:r w:rsidRPr="005F0997">
        <w:t>2</w:t>
      </w:r>
      <w:r w:rsidRPr="005F0997">
        <w:t> 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5F0997">
        <w:t>Citované dokumenty</w:t>
      </w:r>
      <w:bookmarkEnd w:id="61"/>
      <w:bookmarkEnd w:id="62"/>
    </w:p>
    <w:p w:rsidR="002A375D" w:rsidRPr="005F0997" w:rsidRDefault="002A375D" w:rsidP="002A375D">
      <w:pPr>
        <w:pStyle w:val="Textnormy"/>
      </w:pPr>
      <w:r w:rsidRPr="005F0997">
        <w:rPr>
          <w:rFonts w:cs="Arial"/>
        </w:rPr>
        <w:t>Na dále uvedené dokumenty se v textu odkazuje takovým způsobem, že celý jejich obsah nebo jeho část před</w:t>
      </w:r>
      <w:r w:rsidRPr="005F0997">
        <w:rPr>
          <w:rFonts w:cs="Arial"/>
          <w:spacing w:val="-2"/>
        </w:rPr>
        <w:t>stavují požadavky tohoto dokumentu. U datovaných citovaných dokumentů se používají pouze datované citované</w:t>
      </w:r>
      <w:r w:rsidRPr="005F0997">
        <w:rPr>
          <w:rFonts w:cs="Arial"/>
        </w:rPr>
        <w:t xml:space="preserve"> dokumenty. U nedatovaných citovaných dokumentů se používá pouze nejnovější vydání citovaného dokumentu (včetně všech změn).</w:t>
      </w:r>
    </w:p>
    <w:p w:rsidR="002A375D" w:rsidRPr="005F0997" w:rsidRDefault="002A375D" w:rsidP="002A375D">
      <w:pPr>
        <w:pStyle w:val="Textnormy"/>
        <w:spacing w:after="0"/>
      </w:pPr>
      <w:r w:rsidRPr="005F0997">
        <w:t>ISO 14813-1</w:t>
      </w:r>
      <w:r w:rsidRPr="005F0997">
        <w:rPr>
          <w:rFonts w:ascii="Arial Unicode MS" w:eastAsia="Arial Unicode MS" w:hAnsi="Arial Unicode MS" w:cs="Arial Unicode MS" w:hint="eastAsia"/>
        </w:rPr>
        <w:t> </w:t>
      </w:r>
      <w:r w:rsidRPr="005F0997">
        <w:t>Intelligent transport systems – Reference model architecture(s) for the ITS sector – Part 1: ITS service domains, service groups and services</w:t>
      </w:r>
    </w:p>
    <w:p w:rsidR="002A375D" w:rsidRPr="005F0997" w:rsidRDefault="002A375D" w:rsidP="0032187D">
      <w:pPr>
        <w:pStyle w:val="Textnormy"/>
        <w:rPr>
          <w:i/>
        </w:rPr>
      </w:pPr>
      <w:r w:rsidRPr="005F0997">
        <w:rPr>
          <w:i/>
        </w:rPr>
        <w:t>(Inteligentní dopravní systémy – Model referenční architektury pro obor ITS – Část 1: Domény služeb, skupiny služeb a služby ITS)</w:t>
      </w:r>
    </w:p>
    <w:p w:rsidR="002A375D" w:rsidRPr="005F0997" w:rsidRDefault="002A375D" w:rsidP="002A375D">
      <w:pPr>
        <w:pStyle w:val="Textnormy"/>
        <w:spacing w:after="0"/>
      </w:pPr>
      <w:r w:rsidRPr="005F0997">
        <w:t>ISO/TR 14813-2</w:t>
      </w:r>
      <w:r w:rsidRPr="005F0997">
        <w:rPr>
          <w:rFonts w:ascii="MS Mincho" w:eastAsia="MS Mincho" w:hAnsi="MS Mincho" w:cs="MS Mincho" w:hint="eastAsia"/>
        </w:rPr>
        <w:t> </w:t>
      </w:r>
      <w:r w:rsidRPr="005F0997">
        <w:t>Transport information and control systems – Reference model architecture(s) for the TICS sector – Part 2: Core TICS reference architecture</w:t>
      </w:r>
    </w:p>
    <w:p w:rsidR="002A375D" w:rsidRPr="005F0997" w:rsidRDefault="002A375D" w:rsidP="0032187D">
      <w:pPr>
        <w:pStyle w:val="Textnormy"/>
        <w:rPr>
          <w:i/>
        </w:rPr>
      </w:pPr>
      <w:r w:rsidRPr="005F0997">
        <w:rPr>
          <w:i/>
        </w:rPr>
        <w:t>(Inteligentní dopravní systémy – Model referenční architektury pro obor ITS – Část 2: Architektura systémů aktivní zóny ITS)</w:t>
      </w:r>
    </w:p>
    <w:p w:rsidR="002A375D" w:rsidRPr="005F0997" w:rsidRDefault="002A375D" w:rsidP="002A375D">
      <w:pPr>
        <w:pStyle w:val="Textnormy"/>
        <w:spacing w:after="0"/>
      </w:pPr>
      <w:bookmarkStart w:id="63" w:name="_Toc359251365"/>
      <w:bookmarkStart w:id="64" w:name="_Toc359251523"/>
      <w:bookmarkStart w:id="65" w:name="_Toc359251683"/>
      <w:bookmarkStart w:id="66" w:name="_Toc359251940"/>
      <w:bookmarkStart w:id="67" w:name="_Toc359252129"/>
      <w:bookmarkStart w:id="68" w:name="_Toc359252244"/>
      <w:bookmarkStart w:id="69" w:name="_Toc359252487"/>
      <w:bookmarkStart w:id="70" w:name="_Toc359252727"/>
      <w:bookmarkStart w:id="71" w:name="_Toc359252848"/>
      <w:bookmarkStart w:id="72" w:name="_Toc359252922"/>
      <w:bookmarkStart w:id="73" w:name="_Toc359283648"/>
      <w:bookmarkStart w:id="74" w:name="_Toc365965548"/>
      <w:bookmarkStart w:id="75" w:name="_Toc365967315"/>
      <w:bookmarkStart w:id="76" w:name="_Toc365968762"/>
      <w:bookmarkStart w:id="77" w:name="_Toc367082927"/>
      <w:bookmarkStart w:id="78" w:name="_Toc372429542"/>
      <w:bookmarkStart w:id="79" w:name="_Toc375302776"/>
      <w:bookmarkStart w:id="80" w:name="_Toc379098933"/>
      <w:bookmarkStart w:id="81" w:name="_Toc380735106"/>
      <w:bookmarkStart w:id="82" w:name="_Toc380735206"/>
      <w:bookmarkStart w:id="83" w:name="_Toc380825390"/>
      <w:bookmarkStart w:id="84" w:name="_Toc380827279"/>
      <w:bookmarkStart w:id="85" w:name="_Toc380886225"/>
      <w:bookmarkStart w:id="86" w:name="_Toc380886263"/>
      <w:bookmarkStart w:id="87" w:name="_Toc380886373"/>
      <w:bookmarkStart w:id="88" w:name="_Toc380886470"/>
      <w:bookmarkStart w:id="89" w:name="_Toc4487161"/>
      <w:r w:rsidRPr="005F0997">
        <w:t>ISO/IEC 19501</w:t>
      </w:r>
      <w:r w:rsidRPr="005F0997">
        <w:rPr>
          <w:rFonts w:ascii="MS Mincho" w:eastAsia="MS Mincho" w:hAnsi="MS Mincho" w:cs="MS Mincho" w:hint="eastAsia"/>
        </w:rPr>
        <w:t> </w:t>
      </w:r>
      <w:r w:rsidRPr="005F0997">
        <w:t>Information technology – Open Distributed Processing – Unified Modelling Language (UML) Version 1.4.2</w:t>
      </w:r>
    </w:p>
    <w:p w:rsidR="002A375D" w:rsidRPr="005F0997" w:rsidRDefault="002A375D" w:rsidP="0032187D">
      <w:pPr>
        <w:pStyle w:val="Textnormy"/>
        <w:rPr>
          <w:i/>
        </w:rPr>
      </w:pPr>
      <w:r w:rsidRPr="005F0997">
        <w:rPr>
          <w:i/>
        </w:rPr>
        <w:t>(Informační technologie – Otevřené distribuované zpracování (ODP) – Unifikovaný modelovací jazyk (UML) Verze 1.4.2)</w:t>
      </w:r>
    </w:p>
    <w:p w:rsidR="002A375D" w:rsidRPr="005F0997" w:rsidRDefault="002A375D" w:rsidP="00020D05">
      <w:pPr>
        <w:pStyle w:val="Nadpis1"/>
      </w:pPr>
      <w:bookmarkStart w:id="90" w:name="_Toc233519698"/>
      <w:bookmarkStart w:id="91" w:name="_Toc348594875"/>
      <w:r w:rsidRPr="005F0997">
        <w:t>3</w:t>
      </w:r>
      <w:r w:rsidRPr="005F0997">
        <w:t> </w:t>
      </w:r>
      <w:r w:rsidRPr="005F0997">
        <w:t>Termíny a definice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2A375D" w:rsidRPr="005F0997" w:rsidRDefault="002A375D" w:rsidP="002A375D">
      <w:pPr>
        <w:pStyle w:val="Textnormy"/>
      </w:pPr>
      <w:bookmarkStart w:id="92" w:name="_Toc359252729"/>
      <w:bookmarkStart w:id="93" w:name="_Toc359252850"/>
      <w:bookmarkStart w:id="94" w:name="_Toc359252924"/>
      <w:bookmarkStart w:id="95" w:name="_Toc359283650"/>
      <w:bookmarkStart w:id="96" w:name="_Toc365965550"/>
      <w:bookmarkStart w:id="97" w:name="_Toc365967317"/>
      <w:bookmarkStart w:id="98" w:name="_Toc365968764"/>
      <w:bookmarkStart w:id="99" w:name="_Toc367082929"/>
      <w:bookmarkStart w:id="100" w:name="_Toc372429544"/>
      <w:bookmarkStart w:id="101" w:name="_Toc375302778"/>
      <w:bookmarkStart w:id="102" w:name="_Toc379098935"/>
      <w:bookmarkStart w:id="103" w:name="_Toc380735108"/>
      <w:bookmarkStart w:id="104" w:name="_Toc380735208"/>
      <w:bookmarkStart w:id="105" w:name="_Toc380825392"/>
      <w:bookmarkStart w:id="106" w:name="_Toc380827281"/>
      <w:bookmarkStart w:id="107" w:name="_Toc380886227"/>
      <w:bookmarkStart w:id="108" w:name="_Toc380886265"/>
      <w:bookmarkStart w:id="109" w:name="_Toc380886375"/>
      <w:bookmarkStart w:id="110" w:name="_Toc380886472"/>
      <w:bookmarkStart w:id="111" w:name="_Toc4487163"/>
      <w:r w:rsidRPr="005F0997">
        <w:t>Pro účely tohoto dokumentu platí dále uvedené termíny a definice.</w:t>
      </w:r>
    </w:p>
    <w:p w:rsidR="002A375D" w:rsidRPr="005F0997" w:rsidRDefault="002A375D" w:rsidP="002A375D">
      <w:pPr>
        <w:pStyle w:val="Textnormy"/>
      </w:pPr>
      <w:r w:rsidRPr="005F0997">
        <w:t xml:space="preserve">ISO a IEC udržují terminologické databáze pro použití v normalizaci na </w:t>
      </w:r>
      <w:r w:rsidRPr="005F0997">
        <w:rPr>
          <w:rFonts w:ascii="ArialMT" w:hAnsi="ArialMT"/>
          <w:color w:val="000000"/>
        </w:rPr>
        <w:t>uvedených</w:t>
      </w:r>
      <w:r w:rsidRPr="005F0997">
        <w:t xml:space="preserve"> adresách:</w:t>
      </w:r>
    </w:p>
    <w:p w:rsidR="002A375D" w:rsidRPr="005F0997" w:rsidRDefault="002A375D" w:rsidP="002A375D">
      <w:pPr>
        <w:pStyle w:val="Seznamvnorm"/>
        <w:numPr>
          <w:ilvl w:val="0"/>
          <w:numId w:val="26"/>
        </w:numPr>
        <w:ind w:left="284" w:hanging="284"/>
      </w:pPr>
      <w:r w:rsidRPr="005F0997">
        <w:t xml:space="preserve">IEC </w:t>
      </w:r>
      <w:r w:rsidRPr="005F0997">
        <w:rPr>
          <w:lang w:val="en-US"/>
        </w:rPr>
        <w:t>Electropedia</w:t>
      </w:r>
      <w:r w:rsidRPr="005F0997">
        <w:t xml:space="preserve">: dostupné na </w:t>
      </w:r>
      <w:hyperlink r:id="rId20" w:history="1">
        <w:r w:rsidRPr="005F0997">
          <w:rPr>
            <w:rStyle w:val="Hypertextovodkaz"/>
          </w:rPr>
          <w:t>http://www.electropedia.org/</w:t>
        </w:r>
      </w:hyperlink>
    </w:p>
    <w:p w:rsidR="002A375D" w:rsidRPr="005F0997" w:rsidRDefault="002A375D" w:rsidP="002A375D">
      <w:pPr>
        <w:pStyle w:val="Seznamvnorm"/>
        <w:numPr>
          <w:ilvl w:val="0"/>
          <w:numId w:val="26"/>
        </w:numPr>
        <w:ind w:left="284" w:hanging="284"/>
      </w:pPr>
      <w:r w:rsidRPr="005F0997">
        <w:t xml:space="preserve">ISO Online </w:t>
      </w:r>
      <w:r w:rsidRPr="005F0997">
        <w:rPr>
          <w:lang w:val="en-US"/>
        </w:rPr>
        <w:t>browsing platform</w:t>
      </w:r>
      <w:r w:rsidRPr="005F0997">
        <w:t>: dostupné na</w:t>
      </w:r>
      <w:r w:rsidRPr="005F0997">
        <w:rPr>
          <w:rFonts w:cs="Arial"/>
          <w:color w:val="000000"/>
        </w:rPr>
        <w:t xml:space="preserve"> </w:t>
      </w:r>
      <w:hyperlink r:id="rId21" w:history="1">
        <w:r w:rsidRPr="005F0997">
          <w:rPr>
            <w:rStyle w:val="Hypertextovodkaz"/>
            <w:rFonts w:cs="Arial"/>
          </w:rPr>
          <w:t>http://www.iso.org/obp</w:t>
        </w:r>
      </w:hyperlink>
    </w:p>
    <w:p w:rsidR="002A375D" w:rsidRPr="005F0997" w:rsidRDefault="002A375D" w:rsidP="00813B05">
      <w:pPr>
        <w:pStyle w:val="Textnormy"/>
        <w:spacing w:before="240"/>
      </w:pPr>
      <w:r w:rsidRPr="005F0997">
        <w:rPr>
          <w:b/>
        </w:rPr>
        <w:t>3.1</w:t>
      </w:r>
      <w:r w:rsidRPr="005F0997">
        <w:rPr>
          <w:b/>
        </w:rPr>
        <w:tab/>
      </w:r>
      <w:r w:rsidRPr="005F0997">
        <w:rPr>
          <w:b/>
        </w:rPr>
        <w:br/>
        <w:t>architektura</w:t>
      </w:r>
      <w:r w:rsidRPr="005F0997">
        <w:t xml:space="preserve"> </w:t>
      </w:r>
      <w:r w:rsidRPr="005F0997">
        <w:rPr>
          <w:i/>
        </w:rPr>
        <w:t>(architecture)</w:t>
      </w:r>
      <w:r w:rsidRPr="005F0997">
        <w:rPr>
          <w:i/>
        </w:rPr>
        <w:tab/>
      </w:r>
      <w:r w:rsidRPr="005F0997">
        <w:rPr>
          <w:i/>
        </w:rPr>
        <w:br/>
      </w:r>
      <w:r w:rsidRPr="005F0997">
        <w:t>soubor konceptů a pravidel popisujících vzájemné vztahy mezi entitami celého systému, nezávislý na hardwaru nebo softwaru; je popisován pomocí řady pohledů, které mohou být z různých úrovní obecnosti/specifičnosti, abstrakce/konkretizace, celku/části atd.</w:t>
      </w:r>
    </w:p>
    <w:p w:rsidR="002A375D" w:rsidRPr="005F0997" w:rsidRDefault="002A375D" w:rsidP="002A375D">
      <w:pPr>
        <w:pStyle w:val="Poznmka"/>
      </w:pPr>
      <w:r w:rsidRPr="005F0997">
        <w:t>POZNÁMKA 1 k heslu</w:t>
      </w:r>
      <w:r w:rsidRPr="005F0997">
        <w:t> </w:t>
      </w:r>
      <w:r w:rsidRPr="005F0997">
        <w:t>Tento popis je jediným popisem vysoké úrovně hlavních prvků nebo objektů a jejich vzájemných vztahů. Poskytuje rámec, kolem něhož lze stanovit rozhraní, specifikace a podrobné návrhy systému. Architektura není návrhem výrobku, ani podrobnou specifikací fyzické implementace.</w:t>
      </w:r>
    </w:p>
    <w:p w:rsidR="002A375D" w:rsidRPr="005F0997" w:rsidRDefault="002A375D" w:rsidP="00020D05">
      <w:pPr>
        <w:pStyle w:val="Nadpis1"/>
      </w:pPr>
      <w:bookmarkStart w:id="112" w:name="_Toc164130354"/>
      <w:bookmarkStart w:id="113" w:name="_Toc233519699"/>
      <w:bookmarkStart w:id="114" w:name="_Toc348594876"/>
      <w:r w:rsidRPr="005F0997">
        <w:t>4</w:t>
      </w:r>
      <w:r w:rsidRPr="005F0997">
        <w:rPr>
          <w:rFonts w:cs="Arial"/>
        </w:rPr>
        <w:t> </w:t>
      </w:r>
      <w:r w:rsidRPr="005F0997">
        <w:t>Značky a zkratky</w:t>
      </w:r>
      <w:bookmarkEnd w:id="112"/>
      <w:bookmarkEnd w:id="113"/>
      <w:bookmarkEnd w:id="114"/>
    </w:p>
    <w:p w:rsidR="002A375D" w:rsidRPr="005F0997" w:rsidRDefault="002A375D" w:rsidP="002A375D">
      <w:pPr>
        <w:pStyle w:val="Textnormy"/>
        <w:ind w:left="1276" w:hanging="1276"/>
      </w:pPr>
      <w:r w:rsidRPr="005F0997">
        <w:rPr>
          <w:b/>
        </w:rPr>
        <w:t>AASHTO</w:t>
      </w:r>
      <w:r w:rsidRPr="005F0997">
        <w:tab/>
        <w:t>Americká asociace státních dálnic a dopravních činitelů (American Association of State Highway and Transportation Officials)</w:t>
      </w:r>
    </w:p>
    <w:p w:rsidR="002A375D" w:rsidRPr="005F0997" w:rsidRDefault="002A375D" w:rsidP="002A375D">
      <w:pPr>
        <w:pStyle w:val="Textnormy"/>
        <w:ind w:left="1276" w:hanging="1276"/>
      </w:pPr>
      <w:r w:rsidRPr="005F0997">
        <w:rPr>
          <w:b/>
        </w:rPr>
        <w:t>ANSI</w:t>
      </w:r>
      <w:r w:rsidRPr="005F0997">
        <w:tab/>
        <w:t>Americký národní normalizační institut (American National Standards Institute)</w:t>
      </w:r>
    </w:p>
    <w:p w:rsidR="002A375D" w:rsidRPr="005F0997" w:rsidRDefault="002A375D" w:rsidP="002A375D">
      <w:pPr>
        <w:pStyle w:val="Textnormy"/>
        <w:ind w:left="1276" w:hanging="1276"/>
      </w:pPr>
      <w:r w:rsidRPr="005F0997">
        <w:rPr>
          <w:b/>
        </w:rPr>
        <w:t>APTA</w:t>
      </w:r>
      <w:r w:rsidRPr="005F0997">
        <w:tab/>
        <w:t>Asociace americké veřejné dopravy osob (American Public Transportation Association)</w:t>
      </w:r>
    </w:p>
    <w:p w:rsidR="002A375D" w:rsidRPr="005F0997" w:rsidRDefault="002A375D" w:rsidP="002A375D">
      <w:pPr>
        <w:pStyle w:val="Textnormy"/>
        <w:ind w:left="1276" w:hanging="1276"/>
      </w:pPr>
      <w:r w:rsidRPr="005F0997">
        <w:rPr>
          <w:b/>
        </w:rPr>
        <w:t>APEC</w:t>
      </w:r>
      <w:r w:rsidRPr="005F0997">
        <w:tab/>
        <w:t>Ekonomické seskupení Asie a Tichomoří (Asia Pacific Economic Cooperation)</w:t>
      </w:r>
    </w:p>
    <w:p w:rsidR="002A375D" w:rsidRPr="008720A9" w:rsidRDefault="002A375D" w:rsidP="002A375D">
      <w:pPr>
        <w:pStyle w:val="Nadpis1"/>
        <w:pageBreakBefore/>
        <w:spacing w:before="0"/>
      </w:pPr>
      <w:bookmarkStart w:id="115" w:name="_Toc164130377"/>
      <w:bookmarkStart w:id="116" w:name="_Toc233519721"/>
      <w:bookmarkStart w:id="117" w:name="_Toc348594877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8720A9">
        <w:lastRenderedPageBreak/>
        <w:t>Bibliografie</w:t>
      </w:r>
      <w:bookmarkEnd w:id="115"/>
      <w:bookmarkEnd w:id="116"/>
      <w:bookmarkEnd w:id="117"/>
    </w:p>
    <w:p w:rsidR="00B17433" w:rsidRDefault="00B17433" w:rsidP="00B17433">
      <w:pPr>
        <w:pStyle w:val="bibliografie"/>
      </w:pPr>
      <w:r>
        <w:t>M</w:t>
      </w:r>
      <w:r w:rsidRPr="007F293E">
        <w:rPr>
          <w:smallCaps/>
        </w:rPr>
        <w:t>iles</w:t>
      </w:r>
      <w:r>
        <w:t xml:space="preserve">, D.J.C. and </w:t>
      </w:r>
      <w:proofErr w:type="gramStart"/>
      <w:r>
        <w:t>C</w:t>
      </w:r>
      <w:r w:rsidRPr="007F293E">
        <w:rPr>
          <w:smallCaps/>
        </w:rPr>
        <w:t>hen</w:t>
      </w:r>
      <w:r>
        <w:t>, D.K.</w:t>
      </w:r>
      <w:proofErr w:type="gramEnd"/>
      <w:r>
        <w:t>,</w:t>
      </w:r>
      <w:r>
        <w:rPr>
          <w:i/>
          <w:iCs/>
        </w:rPr>
        <w:t xml:space="preserve"> ITS Handbook.</w:t>
      </w:r>
      <w:r>
        <w:t>2</w:t>
      </w:r>
      <w:r w:rsidRPr="007F293E">
        <w:t>nd</w:t>
      </w:r>
      <w:r>
        <w:t xml:space="preserve"> Edition, PIARC, 2004</w:t>
      </w:r>
    </w:p>
    <w:p w:rsidR="00B17433" w:rsidRDefault="00B17433" w:rsidP="00B17433">
      <w:pPr>
        <w:pStyle w:val="bibliografie"/>
      </w:pPr>
      <w:r>
        <w:t>PPK,</w:t>
      </w:r>
      <w:r>
        <w:rPr>
          <w:i/>
          <w:iCs/>
        </w:rPr>
        <w:t xml:space="preserve"> National Reference Architecture for Intelligent Transport Systems, </w:t>
      </w:r>
      <w:r>
        <w:t>ITS Australia, 1999</w:t>
      </w:r>
    </w:p>
    <w:p w:rsidR="00B17433" w:rsidRDefault="00B17433" w:rsidP="00B17433">
      <w:pPr>
        <w:pStyle w:val="bibliografie"/>
      </w:pPr>
      <w:r w:rsidRPr="00B17433">
        <w:rPr>
          <w:spacing w:val="-4"/>
        </w:rPr>
        <w:t xml:space="preserve">Department of Transportation, Office of Operations HOTM, Room 3404, 400, Seventh Street </w:t>
      </w:r>
      <w:proofErr w:type="gramStart"/>
      <w:r w:rsidRPr="00B17433">
        <w:rPr>
          <w:spacing w:val="-4"/>
        </w:rPr>
        <w:t>S.W., Washington</w:t>
      </w:r>
      <w:proofErr w:type="gramEnd"/>
      <w:r w:rsidRPr="00B17433">
        <w:rPr>
          <w:spacing w:val="-4"/>
        </w:rPr>
        <w:t>,</w:t>
      </w:r>
      <w:r>
        <w:t xml:space="preserve"> DC 20590;</w:t>
      </w:r>
    </w:p>
    <w:p w:rsidR="00B17433" w:rsidRPr="00C05960" w:rsidRDefault="00B17433" w:rsidP="00B17433">
      <w:pPr>
        <w:pStyle w:val="bibliografie"/>
        <w:numPr>
          <w:ilvl w:val="0"/>
          <w:numId w:val="0"/>
        </w:numPr>
        <w:ind w:left="567"/>
      </w:pPr>
      <w:r w:rsidRPr="00B17433">
        <w:rPr>
          <w:spacing w:val="-2"/>
        </w:rPr>
        <w:t>Toll-free Help Line 866-367-7487, www.ops.FHWA.dot.gov, Publication No. FHWA-HOP-07-069EDL-14340,</w:t>
      </w:r>
      <w:r>
        <w:t xml:space="preserve"> January 2007, </w:t>
      </w:r>
      <w:hyperlink r:id="rId22" w:history="1">
        <w:r w:rsidRPr="007049AF">
          <w:rPr>
            <w:rStyle w:val="Hypertextovodkaz"/>
            <w:lang w:val="en-GB"/>
          </w:rPr>
          <w:t>http://ops.fhwa.dot.gov/publications/seitsguide/index.htm</w:t>
        </w:r>
      </w:hyperlink>
    </w:p>
    <w:p w:rsidR="00B17433" w:rsidRDefault="00B17433" w:rsidP="00B17433">
      <w:pPr>
        <w:pStyle w:val="bibliografie"/>
      </w:pPr>
      <w:r>
        <w:t>W</w:t>
      </w:r>
      <w:r w:rsidRPr="007F293E">
        <w:rPr>
          <w:smallCaps/>
        </w:rPr>
        <w:t>illiams</w:t>
      </w:r>
      <w:r>
        <w:t xml:space="preserve"> and S</w:t>
      </w:r>
      <w:r w:rsidRPr="007F293E">
        <w:rPr>
          <w:smallCaps/>
        </w:rPr>
        <w:t>kinner</w:t>
      </w:r>
      <w:r>
        <w:t xml:space="preserve">, </w:t>
      </w:r>
      <w:r w:rsidRPr="007F293E">
        <w:rPr>
          <w:i/>
        </w:rPr>
        <w:t>Intelligent Transport Systems</w:t>
      </w:r>
      <w:r>
        <w:rPr>
          <w:i/>
        </w:rPr>
        <w:t xml:space="preserve"> – </w:t>
      </w:r>
      <w:r w:rsidRPr="007F293E">
        <w:rPr>
          <w:i/>
        </w:rPr>
        <w:t>Standards</w:t>
      </w:r>
      <w:r>
        <w:t>, Artech House, 2007</w:t>
      </w:r>
    </w:p>
    <w:p w:rsidR="00B17433" w:rsidRDefault="00B17433" w:rsidP="00B17433">
      <w:pPr>
        <w:pStyle w:val="bibliografie"/>
      </w:pPr>
      <w:r>
        <w:t xml:space="preserve">IEEE 1471-2000, </w:t>
      </w:r>
      <w:r w:rsidRPr="007F293E">
        <w:rPr>
          <w:i/>
        </w:rPr>
        <w:t>Recommended Practice for Architectural Description of Software-Intensive Systems</w:t>
      </w:r>
      <w:r>
        <w:rPr>
          <w:i/>
        </w:rPr>
        <w:t xml:space="preserve">, </w:t>
      </w:r>
      <w:r w:rsidRPr="007F293E">
        <w:t>IEEE</w:t>
      </w:r>
      <w:r>
        <w:t>, 2000</w:t>
      </w:r>
    </w:p>
    <w:p w:rsidR="00B17433" w:rsidRPr="00D0708B" w:rsidRDefault="00B17433" w:rsidP="00B17433">
      <w:pPr>
        <w:pStyle w:val="bibliografie"/>
        <w:rPr>
          <w:lang w:eastAsia="en-GB"/>
        </w:rPr>
      </w:pPr>
      <w:r>
        <w:rPr>
          <w:lang w:eastAsia="en-GB"/>
        </w:rPr>
        <w:t>ISO/</w:t>
      </w:r>
      <w:r w:rsidRPr="009F3B79">
        <w:rPr>
          <w:lang w:eastAsia="en-GB"/>
        </w:rPr>
        <w:t>TR</w:t>
      </w:r>
      <w:r>
        <w:rPr>
          <w:lang w:eastAsia="en-GB"/>
        </w:rPr>
        <w:t> </w:t>
      </w:r>
      <w:r w:rsidRPr="009F3B79">
        <w:rPr>
          <w:lang w:eastAsia="en-GB"/>
        </w:rPr>
        <w:t>14813-3</w:t>
      </w:r>
      <w:r>
        <w:rPr>
          <w:lang w:eastAsia="en-GB"/>
        </w:rPr>
        <w:t xml:space="preserve">, </w:t>
      </w:r>
      <w:r w:rsidRPr="009F3B79">
        <w:rPr>
          <w:i/>
          <w:lang w:eastAsia="en-GB"/>
        </w:rPr>
        <w:t>Transport i</w:t>
      </w:r>
      <w:r>
        <w:rPr>
          <w:i/>
          <w:lang w:eastAsia="en-GB"/>
        </w:rPr>
        <w:t>nformation and control systems –</w:t>
      </w:r>
      <w:r w:rsidRPr="009F3B79">
        <w:rPr>
          <w:i/>
          <w:lang w:eastAsia="en-GB"/>
        </w:rPr>
        <w:t xml:space="preserve"> </w:t>
      </w:r>
      <w:r w:rsidRPr="00185246">
        <w:rPr>
          <w:i/>
          <w:lang w:eastAsia="en-GB"/>
        </w:rPr>
        <w:t>Reference model architecture(s) for the TICS sector</w:t>
      </w:r>
      <w:r>
        <w:rPr>
          <w:i/>
          <w:lang w:eastAsia="en-GB"/>
        </w:rPr>
        <w:t> –</w:t>
      </w:r>
      <w:r w:rsidRPr="00185246">
        <w:rPr>
          <w:i/>
          <w:lang w:eastAsia="en-GB"/>
        </w:rPr>
        <w:t xml:space="preserve"> Part</w:t>
      </w:r>
      <w:r>
        <w:rPr>
          <w:i/>
          <w:lang w:eastAsia="en-GB"/>
        </w:rPr>
        <w:t> </w:t>
      </w:r>
      <w:r w:rsidRPr="00185246">
        <w:rPr>
          <w:i/>
          <w:lang w:eastAsia="en-GB"/>
        </w:rPr>
        <w:t>3: Example elaboration</w:t>
      </w:r>
    </w:p>
    <w:p w:rsidR="00B17433" w:rsidRPr="00D0708B" w:rsidRDefault="00B17433" w:rsidP="00B17433">
      <w:pPr>
        <w:pStyle w:val="bibliografie"/>
        <w:rPr>
          <w:lang w:eastAsia="en-GB"/>
        </w:rPr>
      </w:pPr>
      <w:r>
        <w:rPr>
          <w:lang w:eastAsia="en-GB"/>
        </w:rPr>
        <w:t>ISO/</w:t>
      </w:r>
      <w:r w:rsidRPr="009F3B79">
        <w:rPr>
          <w:lang w:eastAsia="en-GB"/>
        </w:rPr>
        <w:t>TR</w:t>
      </w:r>
      <w:r>
        <w:rPr>
          <w:lang w:eastAsia="en-GB"/>
        </w:rPr>
        <w:t> </w:t>
      </w:r>
      <w:r w:rsidRPr="009F3B79">
        <w:rPr>
          <w:lang w:eastAsia="en-GB"/>
        </w:rPr>
        <w:t>14813-4</w:t>
      </w:r>
      <w:r>
        <w:rPr>
          <w:lang w:eastAsia="en-GB"/>
        </w:rPr>
        <w:t xml:space="preserve">, </w:t>
      </w:r>
      <w:r w:rsidRPr="009F3B79">
        <w:rPr>
          <w:i/>
          <w:lang w:eastAsia="en-GB"/>
        </w:rPr>
        <w:t>Transport i</w:t>
      </w:r>
      <w:r>
        <w:rPr>
          <w:i/>
          <w:lang w:eastAsia="en-GB"/>
        </w:rPr>
        <w:t>nformation and control systems –</w:t>
      </w:r>
      <w:r w:rsidRPr="009F3B79">
        <w:rPr>
          <w:i/>
          <w:lang w:eastAsia="en-GB"/>
        </w:rPr>
        <w:t xml:space="preserve"> </w:t>
      </w:r>
      <w:r w:rsidRPr="00185246">
        <w:rPr>
          <w:i/>
          <w:lang w:eastAsia="en-GB"/>
        </w:rPr>
        <w:t>Reference model architecture(s) for the TICS sector</w:t>
      </w:r>
      <w:r>
        <w:rPr>
          <w:i/>
          <w:lang w:eastAsia="en-GB"/>
        </w:rPr>
        <w:t> –</w:t>
      </w:r>
      <w:r w:rsidRPr="00185246">
        <w:rPr>
          <w:i/>
          <w:lang w:eastAsia="en-GB"/>
        </w:rPr>
        <w:t xml:space="preserve"> Part</w:t>
      </w:r>
      <w:r>
        <w:rPr>
          <w:i/>
          <w:lang w:eastAsia="en-GB"/>
        </w:rPr>
        <w:t> </w:t>
      </w:r>
      <w:r w:rsidRPr="00185246">
        <w:rPr>
          <w:i/>
          <w:lang w:eastAsia="en-GB"/>
        </w:rPr>
        <w:t>4: Reference model tutorial</w:t>
      </w:r>
    </w:p>
    <w:p w:rsidR="00B17433" w:rsidRPr="00D0708B" w:rsidRDefault="00B17433" w:rsidP="00B17433">
      <w:pPr>
        <w:pStyle w:val="bibliografie"/>
        <w:rPr>
          <w:lang w:eastAsia="en-GB"/>
        </w:rPr>
      </w:pPr>
      <w:r w:rsidRPr="009F3B79">
        <w:rPr>
          <w:lang w:eastAsia="en-GB"/>
        </w:rPr>
        <w:t>ISO</w:t>
      </w:r>
      <w:r>
        <w:rPr>
          <w:lang w:eastAsia="en-GB"/>
        </w:rPr>
        <w:t>/</w:t>
      </w:r>
      <w:r w:rsidRPr="009F3B79">
        <w:rPr>
          <w:lang w:eastAsia="en-GB"/>
        </w:rPr>
        <w:t>TR</w:t>
      </w:r>
      <w:r>
        <w:rPr>
          <w:lang w:eastAsia="en-GB"/>
        </w:rPr>
        <w:t> </w:t>
      </w:r>
      <w:r w:rsidRPr="009F3B79">
        <w:rPr>
          <w:lang w:eastAsia="en-GB"/>
        </w:rPr>
        <w:t>14813-5</w:t>
      </w:r>
      <w:r>
        <w:rPr>
          <w:lang w:eastAsia="en-GB"/>
        </w:rPr>
        <w:t xml:space="preserve">, </w:t>
      </w:r>
      <w:r w:rsidRPr="00F46D27">
        <w:rPr>
          <w:i/>
          <w:lang w:eastAsia="en-GB"/>
        </w:rPr>
        <w:t>Transport information and control systems</w:t>
      </w:r>
      <w:r>
        <w:rPr>
          <w:i/>
          <w:lang w:eastAsia="en-GB"/>
        </w:rPr>
        <w:t> –</w:t>
      </w:r>
      <w:r w:rsidRPr="009F3B79">
        <w:rPr>
          <w:i/>
          <w:lang w:eastAsia="en-GB"/>
        </w:rPr>
        <w:t xml:space="preserve"> </w:t>
      </w:r>
      <w:r w:rsidRPr="00AA0347">
        <w:rPr>
          <w:i/>
          <w:lang w:eastAsia="en-GB"/>
        </w:rPr>
        <w:t>Reference model architecture(s) for the TICS sector</w:t>
      </w:r>
      <w:r>
        <w:rPr>
          <w:i/>
          <w:lang w:eastAsia="en-GB"/>
        </w:rPr>
        <w:t> –</w:t>
      </w:r>
      <w:r w:rsidRPr="00AA0347">
        <w:rPr>
          <w:i/>
          <w:lang w:eastAsia="en-GB"/>
        </w:rPr>
        <w:t xml:space="preserve"> Part</w:t>
      </w:r>
      <w:r>
        <w:rPr>
          <w:i/>
          <w:lang w:eastAsia="en-GB"/>
        </w:rPr>
        <w:t> </w:t>
      </w:r>
      <w:r w:rsidRPr="00AA0347">
        <w:rPr>
          <w:i/>
          <w:lang w:eastAsia="en-GB"/>
        </w:rPr>
        <w:t>5: Requirements for architecture description in TICS standards</w:t>
      </w:r>
    </w:p>
    <w:p w:rsidR="00B17433" w:rsidRPr="00D0708B" w:rsidRDefault="00B17433" w:rsidP="00B17433">
      <w:pPr>
        <w:pStyle w:val="bibliografie"/>
        <w:rPr>
          <w:lang w:eastAsia="en-GB"/>
        </w:rPr>
      </w:pPr>
      <w:r w:rsidRPr="009F3B79">
        <w:rPr>
          <w:lang w:eastAsia="en-GB"/>
        </w:rPr>
        <w:t>ISO</w:t>
      </w:r>
      <w:r>
        <w:rPr>
          <w:lang w:eastAsia="en-GB"/>
        </w:rPr>
        <w:t> </w:t>
      </w:r>
      <w:r w:rsidRPr="009F3B79">
        <w:rPr>
          <w:lang w:eastAsia="en-GB"/>
        </w:rPr>
        <w:t>14813-6</w:t>
      </w:r>
      <w:r>
        <w:rPr>
          <w:lang w:eastAsia="en-GB"/>
        </w:rPr>
        <w:t xml:space="preserve">, </w:t>
      </w:r>
      <w:r w:rsidRPr="00F46D27">
        <w:rPr>
          <w:i/>
          <w:lang w:eastAsia="en-GB"/>
        </w:rPr>
        <w:t>Transport information and control systems</w:t>
      </w:r>
      <w:r>
        <w:rPr>
          <w:i/>
          <w:lang w:eastAsia="en-GB"/>
        </w:rPr>
        <w:t> –</w:t>
      </w:r>
      <w:r w:rsidRPr="009F3B79">
        <w:rPr>
          <w:i/>
          <w:lang w:eastAsia="en-GB"/>
        </w:rPr>
        <w:t xml:space="preserve"> </w:t>
      </w:r>
      <w:r w:rsidRPr="00B54E76">
        <w:rPr>
          <w:i/>
          <w:lang w:eastAsia="en-GB"/>
        </w:rPr>
        <w:t>Reference model architecture(s) for the TICS sector</w:t>
      </w:r>
      <w:r>
        <w:rPr>
          <w:i/>
          <w:lang w:eastAsia="en-GB"/>
        </w:rPr>
        <w:t> –</w:t>
      </w:r>
      <w:r w:rsidRPr="00B54E76">
        <w:rPr>
          <w:i/>
          <w:lang w:eastAsia="en-GB"/>
        </w:rPr>
        <w:t xml:space="preserve"> Part</w:t>
      </w:r>
      <w:r>
        <w:rPr>
          <w:i/>
          <w:lang w:eastAsia="en-GB"/>
        </w:rPr>
        <w:t> </w:t>
      </w:r>
      <w:r w:rsidRPr="00B54E76">
        <w:rPr>
          <w:i/>
          <w:lang w:eastAsia="en-GB"/>
        </w:rPr>
        <w:t>6: Data presentation in ASN.1</w:t>
      </w:r>
    </w:p>
    <w:p w:rsidR="00B17433" w:rsidRPr="009F3B79" w:rsidRDefault="00B17433" w:rsidP="00B17433">
      <w:pPr>
        <w:pStyle w:val="bibliografie"/>
        <w:rPr>
          <w:lang w:eastAsia="en-GB"/>
        </w:rPr>
      </w:pPr>
      <w:r w:rsidRPr="009F3B79">
        <w:rPr>
          <w:lang w:eastAsia="en-GB"/>
        </w:rPr>
        <w:t>ISO</w:t>
      </w:r>
      <w:r>
        <w:rPr>
          <w:lang w:eastAsia="en-GB"/>
        </w:rPr>
        <w:t> </w:t>
      </w:r>
      <w:r w:rsidRPr="009F3B79">
        <w:rPr>
          <w:lang w:eastAsia="en-GB"/>
        </w:rPr>
        <w:t>14817</w:t>
      </w:r>
      <w:r>
        <w:rPr>
          <w:lang w:eastAsia="en-GB"/>
        </w:rPr>
        <w:t xml:space="preserve">, </w:t>
      </w:r>
      <w:r w:rsidRPr="00F46D27">
        <w:rPr>
          <w:i/>
          <w:lang w:eastAsia="en-GB"/>
        </w:rPr>
        <w:t>Transport information and control systems</w:t>
      </w:r>
      <w:r>
        <w:rPr>
          <w:i/>
          <w:lang w:eastAsia="en-GB"/>
        </w:rPr>
        <w:t> –</w:t>
      </w:r>
      <w:r w:rsidRPr="009F3B79">
        <w:rPr>
          <w:i/>
          <w:lang w:eastAsia="en-GB"/>
        </w:rPr>
        <w:t xml:space="preserve"> Requirements for an ITS/TICS central Data </w:t>
      </w:r>
      <w:r>
        <w:rPr>
          <w:i/>
          <w:lang w:eastAsia="en-GB"/>
        </w:rPr>
        <w:br/>
      </w:r>
      <w:r w:rsidRPr="009F3B79">
        <w:rPr>
          <w:i/>
          <w:lang w:eastAsia="en-GB"/>
        </w:rPr>
        <w:t>Registry and ITS/TICS Data Dictionaries</w:t>
      </w:r>
    </w:p>
    <w:p w:rsidR="00B17433" w:rsidRPr="00B17433" w:rsidRDefault="00B17433" w:rsidP="00B17433">
      <w:pPr>
        <w:pStyle w:val="bibliografie"/>
        <w:rPr>
          <w:spacing w:val="-2"/>
          <w:lang w:eastAsia="en-GB"/>
        </w:rPr>
      </w:pPr>
      <w:r w:rsidRPr="00B17433">
        <w:rPr>
          <w:spacing w:val="-2"/>
          <w:lang w:eastAsia="en-GB"/>
        </w:rPr>
        <w:t xml:space="preserve">ISO/TR 17452, </w:t>
      </w:r>
      <w:r w:rsidRPr="00B17433">
        <w:rPr>
          <w:i/>
          <w:spacing w:val="-2"/>
          <w:lang w:eastAsia="en-GB"/>
        </w:rPr>
        <w:t>Intelligent transport systems – Using UML for defining and documenting ITS/TICS interfaces</w:t>
      </w:r>
    </w:p>
    <w:p w:rsidR="00B17433" w:rsidRPr="00D0708B" w:rsidRDefault="00B17433" w:rsidP="00B17433">
      <w:pPr>
        <w:pStyle w:val="bibliografie"/>
        <w:rPr>
          <w:lang w:eastAsia="en-GB"/>
        </w:rPr>
      </w:pPr>
      <w:r w:rsidRPr="00B17433">
        <w:rPr>
          <w:spacing w:val="-2"/>
          <w:lang w:eastAsia="en-GB"/>
        </w:rPr>
        <w:t xml:space="preserve">ISO/TR 24098, </w:t>
      </w:r>
      <w:r w:rsidRPr="00B17433">
        <w:rPr>
          <w:i/>
          <w:spacing w:val="-2"/>
          <w:lang w:eastAsia="en-GB"/>
        </w:rPr>
        <w:t xml:space="preserve">Intelligent transport systems – System architecture, taxonomy and terminology – Procedures </w:t>
      </w:r>
      <w:r w:rsidRPr="00277AC5">
        <w:rPr>
          <w:i/>
          <w:lang w:eastAsia="en-GB"/>
        </w:rPr>
        <w:t>for developing ITS deployment plans utilizing ITS system architecture</w:t>
      </w:r>
    </w:p>
    <w:p w:rsidR="00B17433" w:rsidRPr="00D0708B" w:rsidRDefault="00B17433" w:rsidP="00B17433">
      <w:pPr>
        <w:pStyle w:val="bibliografie"/>
        <w:rPr>
          <w:lang w:eastAsia="en-GB"/>
        </w:rPr>
      </w:pPr>
      <w:r>
        <w:rPr>
          <w:lang w:eastAsia="en-GB"/>
        </w:rPr>
        <w:t>ISO/</w:t>
      </w:r>
      <w:r w:rsidRPr="009F3B79">
        <w:rPr>
          <w:lang w:eastAsia="en-GB"/>
        </w:rPr>
        <w:t>TR</w:t>
      </w:r>
      <w:r>
        <w:rPr>
          <w:lang w:eastAsia="en-GB"/>
        </w:rPr>
        <w:t> </w:t>
      </w:r>
      <w:r w:rsidRPr="009F3B79">
        <w:rPr>
          <w:lang w:eastAsia="en-GB"/>
        </w:rPr>
        <w:t>24529</w:t>
      </w:r>
      <w:r>
        <w:rPr>
          <w:lang w:eastAsia="en-GB"/>
        </w:rPr>
        <w:t xml:space="preserve">, </w:t>
      </w:r>
      <w:r w:rsidRPr="009F3B79">
        <w:rPr>
          <w:i/>
          <w:lang w:eastAsia="en-GB"/>
        </w:rPr>
        <w:t>Intelligent transport systems</w:t>
      </w:r>
      <w:r>
        <w:rPr>
          <w:i/>
          <w:lang w:eastAsia="en-GB"/>
        </w:rPr>
        <w:t xml:space="preserve"> –</w:t>
      </w:r>
      <w:r w:rsidRPr="009F3B79">
        <w:rPr>
          <w:i/>
          <w:lang w:eastAsia="en-GB"/>
        </w:rPr>
        <w:t xml:space="preserve"> </w:t>
      </w:r>
      <w:r w:rsidRPr="00997CF9">
        <w:rPr>
          <w:i/>
          <w:lang w:eastAsia="en-GB"/>
        </w:rPr>
        <w:t>Systems architecture</w:t>
      </w:r>
      <w:r>
        <w:rPr>
          <w:i/>
          <w:lang w:eastAsia="en-GB"/>
        </w:rPr>
        <w:t xml:space="preserve"> –</w:t>
      </w:r>
      <w:r w:rsidRPr="00997CF9">
        <w:rPr>
          <w:i/>
          <w:lang w:eastAsia="en-GB"/>
        </w:rPr>
        <w:t xml:space="preserve"> Use of unified modelling language (UML) in ITS International Standards and deliverables</w:t>
      </w:r>
    </w:p>
    <w:p w:rsidR="00B17433" w:rsidRPr="00D0708B" w:rsidRDefault="00B17433" w:rsidP="00B17433">
      <w:pPr>
        <w:pStyle w:val="bibliografie"/>
        <w:rPr>
          <w:lang w:eastAsia="en-GB"/>
        </w:rPr>
      </w:pPr>
      <w:r w:rsidRPr="009F3B79">
        <w:rPr>
          <w:lang w:eastAsia="en-GB"/>
        </w:rPr>
        <w:t>IS</w:t>
      </w:r>
      <w:r>
        <w:rPr>
          <w:lang w:eastAsia="en-GB"/>
        </w:rPr>
        <w:t>O </w:t>
      </w:r>
      <w:r w:rsidRPr="009F3B79">
        <w:rPr>
          <w:lang w:eastAsia="en-GB"/>
        </w:rPr>
        <w:t>24531</w:t>
      </w:r>
      <w:r>
        <w:rPr>
          <w:lang w:eastAsia="en-GB"/>
        </w:rPr>
        <w:t xml:space="preserve">, </w:t>
      </w:r>
      <w:r>
        <w:rPr>
          <w:i/>
          <w:lang w:eastAsia="en-GB"/>
        </w:rPr>
        <w:t>Intelligent transport systems –</w:t>
      </w:r>
      <w:r w:rsidRPr="009F3B79">
        <w:rPr>
          <w:i/>
          <w:lang w:eastAsia="en-GB"/>
        </w:rPr>
        <w:t xml:space="preserve"> </w:t>
      </w:r>
      <w:r w:rsidRPr="001F3DE1">
        <w:rPr>
          <w:i/>
          <w:lang w:eastAsia="en-GB"/>
        </w:rPr>
        <w:t>System architecture, taxonomy and terminology</w:t>
      </w:r>
      <w:r>
        <w:rPr>
          <w:i/>
          <w:lang w:eastAsia="en-GB"/>
        </w:rPr>
        <w:t> –</w:t>
      </w:r>
      <w:r w:rsidRPr="001F3DE1">
        <w:rPr>
          <w:i/>
          <w:lang w:eastAsia="en-GB"/>
        </w:rPr>
        <w:t xml:space="preserve"> Using XML in ITS standards, data registries and data dictionaries</w:t>
      </w:r>
    </w:p>
    <w:p w:rsidR="00B17433" w:rsidRPr="00D0708B" w:rsidRDefault="00B17433" w:rsidP="00B17433">
      <w:pPr>
        <w:pStyle w:val="bibliografie"/>
        <w:rPr>
          <w:lang w:eastAsia="en-GB"/>
        </w:rPr>
      </w:pPr>
      <w:r>
        <w:rPr>
          <w:lang w:eastAsia="en-GB"/>
        </w:rPr>
        <w:t>ISO/</w:t>
      </w:r>
      <w:r w:rsidRPr="009F3B79">
        <w:rPr>
          <w:lang w:eastAsia="en-GB"/>
        </w:rPr>
        <w:t>TR</w:t>
      </w:r>
      <w:r>
        <w:rPr>
          <w:lang w:eastAsia="en-GB"/>
        </w:rPr>
        <w:t> </w:t>
      </w:r>
      <w:r w:rsidRPr="009F3B79">
        <w:rPr>
          <w:lang w:eastAsia="en-GB"/>
        </w:rPr>
        <w:t>24532</w:t>
      </w:r>
      <w:r>
        <w:rPr>
          <w:lang w:eastAsia="en-GB"/>
        </w:rPr>
        <w:t xml:space="preserve">, </w:t>
      </w:r>
      <w:r w:rsidRPr="009F3B79">
        <w:rPr>
          <w:i/>
          <w:lang w:eastAsia="en-GB"/>
        </w:rPr>
        <w:t>Intelligent transport systems</w:t>
      </w:r>
      <w:r>
        <w:rPr>
          <w:i/>
          <w:lang w:eastAsia="en-GB"/>
        </w:rPr>
        <w:t xml:space="preserve"> –</w:t>
      </w:r>
      <w:r w:rsidRPr="009F3B79">
        <w:rPr>
          <w:i/>
          <w:lang w:eastAsia="en-GB"/>
        </w:rPr>
        <w:t xml:space="preserve"> </w:t>
      </w:r>
      <w:r w:rsidRPr="001F3DE1">
        <w:rPr>
          <w:i/>
          <w:lang w:eastAsia="en-GB"/>
        </w:rPr>
        <w:t>Systems architecture, taxonomy and terminology</w:t>
      </w:r>
      <w:r>
        <w:rPr>
          <w:i/>
          <w:lang w:eastAsia="en-GB"/>
        </w:rPr>
        <w:t> –</w:t>
      </w:r>
      <w:r w:rsidRPr="001F3DE1">
        <w:rPr>
          <w:i/>
          <w:lang w:eastAsia="en-GB"/>
        </w:rPr>
        <w:t xml:space="preserve"> Using </w:t>
      </w:r>
      <w:r w:rsidRPr="00B17433">
        <w:rPr>
          <w:i/>
          <w:spacing w:val="-3"/>
          <w:lang w:eastAsia="en-GB"/>
        </w:rPr>
        <w:t>CORBA (Common Object Request Broker Architecture) in ITS standards, data registries and data dictionaries</w:t>
      </w:r>
    </w:p>
    <w:p w:rsidR="00B17433" w:rsidRPr="00D0708B" w:rsidRDefault="00B17433" w:rsidP="00B17433">
      <w:pPr>
        <w:pStyle w:val="bibliografie"/>
        <w:rPr>
          <w:lang w:eastAsia="en-GB"/>
        </w:rPr>
      </w:pPr>
      <w:r>
        <w:rPr>
          <w:lang w:eastAsia="en-GB"/>
        </w:rPr>
        <w:t>ISO/</w:t>
      </w:r>
      <w:r w:rsidRPr="009F3B79">
        <w:rPr>
          <w:lang w:eastAsia="en-GB"/>
        </w:rPr>
        <w:t>TR</w:t>
      </w:r>
      <w:r>
        <w:rPr>
          <w:lang w:eastAsia="en-GB"/>
        </w:rPr>
        <w:t> </w:t>
      </w:r>
      <w:r w:rsidRPr="009F3B79">
        <w:rPr>
          <w:lang w:eastAsia="en-GB"/>
        </w:rPr>
        <w:t>25100</w:t>
      </w:r>
      <w:r>
        <w:rPr>
          <w:lang w:eastAsia="en-GB"/>
        </w:rPr>
        <w:t xml:space="preserve">, </w:t>
      </w:r>
      <w:r w:rsidRPr="009F3B79">
        <w:rPr>
          <w:i/>
          <w:lang w:eastAsia="en-GB"/>
        </w:rPr>
        <w:t>Intelligent transport systems</w:t>
      </w:r>
      <w:r>
        <w:rPr>
          <w:i/>
          <w:lang w:eastAsia="en-GB"/>
        </w:rPr>
        <w:t xml:space="preserve"> –</w:t>
      </w:r>
      <w:r w:rsidRPr="009F3B79">
        <w:rPr>
          <w:i/>
          <w:lang w:eastAsia="en-GB"/>
        </w:rPr>
        <w:t xml:space="preserve"> </w:t>
      </w:r>
      <w:r w:rsidRPr="00B93857">
        <w:rPr>
          <w:i/>
          <w:lang w:eastAsia="en-GB"/>
        </w:rPr>
        <w:t>Systems architecture</w:t>
      </w:r>
      <w:r>
        <w:rPr>
          <w:i/>
          <w:lang w:eastAsia="en-GB"/>
        </w:rPr>
        <w:t xml:space="preserve"> –</w:t>
      </w:r>
      <w:r w:rsidRPr="00B93857">
        <w:rPr>
          <w:i/>
          <w:lang w:eastAsia="en-GB"/>
        </w:rPr>
        <w:t xml:space="preserve"> Harmonization of ITS data concepts</w:t>
      </w:r>
    </w:p>
    <w:p w:rsidR="00B17433" w:rsidRPr="00D0708B" w:rsidRDefault="00B17433" w:rsidP="00B17433">
      <w:pPr>
        <w:pStyle w:val="bibliografie"/>
        <w:rPr>
          <w:lang w:eastAsia="en-GB"/>
        </w:rPr>
      </w:pPr>
      <w:r>
        <w:rPr>
          <w:lang w:eastAsia="en-GB"/>
        </w:rPr>
        <w:t>ISO/</w:t>
      </w:r>
      <w:r w:rsidRPr="009F3B79">
        <w:rPr>
          <w:lang w:eastAsia="en-GB"/>
        </w:rPr>
        <w:t>TR</w:t>
      </w:r>
      <w:r>
        <w:rPr>
          <w:lang w:eastAsia="en-GB"/>
        </w:rPr>
        <w:t> </w:t>
      </w:r>
      <w:r w:rsidRPr="009F3B79">
        <w:rPr>
          <w:lang w:eastAsia="en-GB"/>
        </w:rPr>
        <w:t>28682</w:t>
      </w:r>
      <w:r>
        <w:rPr>
          <w:lang w:eastAsia="en-GB"/>
        </w:rPr>
        <w:t xml:space="preserve">, </w:t>
      </w:r>
      <w:r w:rsidRPr="003A4E78">
        <w:rPr>
          <w:i/>
          <w:lang w:eastAsia="en-GB"/>
        </w:rPr>
        <w:t>A joint APEC-ISO study of progress to develop and deploy ITS Standards</w:t>
      </w:r>
    </w:p>
    <w:p w:rsidR="00B17433" w:rsidRPr="00B17433" w:rsidRDefault="00B17433" w:rsidP="00B17433">
      <w:pPr>
        <w:pStyle w:val="bibliografie"/>
        <w:numPr>
          <w:ilvl w:val="0"/>
          <w:numId w:val="0"/>
        </w:numPr>
        <w:ind w:left="567"/>
        <w:rPr>
          <w:lang w:eastAsia="en-GB"/>
        </w:rPr>
      </w:pPr>
    </w:p>
    <w:sectPr w:rsidR="00B17433" w:rsidRPr="00B1743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BE" w:rsidRDefault="00BB03BE">
      <w:r>
        <w:separator/>
      </w:r>
    </w:p>
  </w:endnote>
  <w:endnote w:type="continuationSeparator" w:id="0">
    <w:p w:rsidR="00BB03BE" w:rsidRDefault="00BB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1" w:subsetted="1" w:fontKey="{92080750-69F5-4956-A9FB-8107A0A0705A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2" w:subsetted="1" w:fontKey="{F7EE3BA3-1F7A-47F7-8ABF-076289C7CCCE}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5E5D70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3AC5">
      <w:rPr>
        <w:rStyle w:val="slostrnky"/>
        <w:noProof/>
      </w:rPr>
      <w:t>9</w:t>
    </w:r>
    <w:r>
      <w:rPr>
        <w:rStyle w:val="slostrnky"/>
      </w:rPr>
      <w:fldChar w:fldCharType="end"/>
    </w:r>
  </w:p>
  <w:p w:rsidR="005E5D70" w:rsidRDefault="005E5D70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5E5D70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3AC5">
      <w:rPr>
        <w:rStyle w:val="slostrnky"/>
        <w:noProof/>
      </w:rPr>
      <w:t>9</w:t>
    </w:r>
    <w:r>
      <w:rPr>
        <w:rStyle w:val="slostrnky"/>
      </w:rPr>
      <w:fldChar w:fldCharType="end"/>
    </w:r>
  </w:p>
  <w:p w:rsidR="005E5D70" w:rsidRDefault="005E5D70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Pr="00F34923" w:rsidRDefault="005E6642" w:rsidP="00F34923">
    <w:pPr>
      <w:pStyle w:val="1StrCopyright"/>
      <w:spacing w:before="180"/>
    </w:pPr>
    <w:r>
      <w:rPr>
        <w:rFonts w:ascii="Times New Roman" w:hAnsi="Times New Roman"/>
        <w:noProof/>
      </w:rPr>
      <w:drawing>
        <wp:inline distT="0" distB="0" distL="0" distR="0">
          <wp:extent cx="897890" cy="324485"/>
          <wp:effectExtent l="0" t="0" r="0" b="0"/>
          <wp:docPr id="6" name="obrázek 1" descr="logo cer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r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4923">
      <w:tab/>
    </w:r>
    <w:r w:rsidR="00F34923" w:rsidRPr="00F34923">
      <w:rPr>
        <w:sz w:val="16"/>
        <w:szCs w:val="16"/>
      </w:rPr>
      <w:t xml:space="preserve">© Úřad pro technickou normalizaci, metrologii a státní zkušebnictví, </w:t>
    </w:r>
    <w:r w:rsidR="002A375D">
      <w:rPr>
        <w:sz w:val="16"/>
        <w:szCs w:val="16"/>
      </w:rPr>
      <w:t>RRRR</w:t>
    </w:r>
    <w:r w:rsidR="00F34923">
      <w:tab/>
    </w:r>
    <w:r w:rsidR="00F34923">
      <w:rPr>
        <w:b/>
        <w:sz w:val="20"/>
      </w:rPr>
      <w:t>XXXXX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5E5D70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A22F2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5E5D70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A22F2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BE" w:rsidRDefault="00BB03BE">
      <w:r>
        <w:separator/>
      </w:r>
    </w:p>
  </w:footnote>
  <w:footnote w:type="continuationSeparator" w:id="0">
    <w:p w:rsidR="00BB03BE" w:rsidRDefault="00BB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BB03B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9705" o:spid="_x0000_s2050" type="#_x0000_t136" style="position:absolute;left:0;text-align:left;margin-left:0;margin-top:0;width:625.75pt;height:73.6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5E5D70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BB03BE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9706" o:spid="_x0000_s2051" type="#_x0000_t136" style="position:absolute;left:0;text-align:left;margin-left:0;margin-top:0;width:625.75pt;height:73.6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5E5D70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81" w:rsidRDefault="00BB03B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9704" o:spid="_x0000_s2049" type="#_x0000_t136" style="position:absolute;left:0;text-align:left;margin-left:0;margin-top:0;width:625.75pt;height:73.6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BB03B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9708" o:spid="_x0000_s2053" type="#_x0000_t136" style="position:absolute;left:0;text-align:left;margin-left:0;margin-top:0;width:625.75pt;height:73.6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5E5D70">
      <w:t xml:space="preserve">TNI </w:t>
    </w:r>
    <w:r w:rsidR="002A375D">
      <w:t>ISO</w:t>
    </w:r>
    <w:r w:rsidR="005E5D70">
      <w:t xml:space="preserve">/TR </w:t>
    </w:r>
    <w:r w:rsidR="002A375D">
      <w:t>25104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BB03BE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9709" o:spid="_x0000_s2054" type="#_x0000_t136" style="position:absolute;left:0;text-align:left;margin-left:0;margin-top:0;width:625.75pt;height:73.6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2A375D">
      <w:t>TNI ISO/TR 25104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81" w:rsidRDefault="00BB03B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9707" o:spid="_x0000_s2052" type="#_x0000_t136" style="position:absolute;left:0;text-align:left;margin-left:0;margin-top:0;width:625.75pt;height:73.6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5F252BD"/>
    <w:multiLevelType w:val="singleLevel"/>
    <w:tmpl w:val="074C56F8"/>
    <w:lvl w:ilvl="0">
      <w:start w:val="1"/>
      <w:numFmt w:val="decimal"/>
      <w:pStyle w:val="Bibliografie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2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8B8050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7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9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0" w15:restartNumberingAfterBreak="0">
    <w:nsid w:val="59712010"/>
    <w:multiLevelType w:val="hybridMultilevel"/>
    <w:tmpl w:val="9A82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44DB8"/>
    <w:multiLevelType w:val="hybridMultilevel"/>
    <w:tmpl w:val="9BA44F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AD6E9E"/>
    <w:multiLevelType w:val="hybridMultilevel"/>
    <w:tmpl w:val="FAE4B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9"/>
  </w:num>
  <w:num w:numId="5">
    <w:abstractNumId w:val="11"/>
  </w:num>
  <w:num w:numId="6">
    <w:abstractNumId w:val="23"/>
    <w:lvlOverride w:ilvl="0">
      <w:startOverride w:val="1"/>
    </w:lvlOverride>
  </w:num>
  <w:num w:numId="7">
    <w:abstractNumId w:val="18"/>
  </w:num>
  <w:num w:numId="8">
    <w:abstractNumId w:val="12"/>
  </w:num>
  <w:num w:numId="9">
    <w:abstractNumId w:val="12"/>
  </w:num>
  <w:num w:numId="10">
    <w:abstractNumId w:val="16"/>
  </w:num>
  <w:num w:numId="11">
    <w:abstractNumId w:val="23"/>
  </w:num>
  <w:num w:numId="12">
    <w:abstractNumId w:val="11"/>
  </w:num>
  <w:num w:numId="13">
    <w:abstractNumId w:val="19"/>
  </w:num>
  <w:num w:numId="14">
    <w:abstractNumId w:val="17"/>
  </w:num>
  <w:num w:numId="15">
    <w:abstractNumId w:val="12"/>
  </w:num>
  <w:num w:numId="16">
    <w:abstractNumId w:val="15"/>
  </w:num>
  <w:num w:numId="17">
    <w:abstractNumId w:val="9"/>
  </w:num>
  <w:num w:numId="18">
    <w:abstractNumId w:val="23"/>
  </w:num>
  <w:num w:numId="19">
    <w:abstractNumId w:val="11"/>
  </w:num>
  <w:num w:numId="20">
    <w:abstractNumId w:val="19"/>
  </w:num>
  <w:num w:numId="21">
    <w:abstractNumId w:val="17"/>
  </w:num>
  <w:num w:numId="22">
    <w:abstractNumId w:val="12"/>
  </w:num>
  <w:num w:numId="23">
    <w:abstractNumId w:val="15"/>
  </w:num>
  <w:num w:numId="24">
    <w:abstractNumId w:val="9"/>
  </w:num>
  <w:num w:numId="25">
    <w:abstractNumId w:val="21"/>
  </w:num>
  <w:num w:numId="26">
    <w:abstractNumId w:val="22"/>
  </w:num>
  <w:num w:numId="27">
    <w:abstractNumId w:val="12"/>
  </w:num>
  <w:num w:numId="28">
    <w:abstractNumId w:val="11"/>
    <w:lvlOverride w:ilvl="0">
      <w:startOverride w:val="1"/>
    </w:lvlOverride>
  </w:num>
  <w:num w:numId="29">
    <w:abstractNumId w:val="14"/>
  </w:num>
  <w:num w:numId="30">
    <w:abstractNumId w:val="13"/>
  </w:num>
  <w:num w:numId="31">
    <w:abstractNumId w:val="0"/>
  </w:num>
  <w:num w:numId="32">
    <w:abstractNumId w:val="1"/>
  </w:num>
  <w:num w:numId="33">
    <w:abstractNumId w:val="3"/>
  </w:num>
  <w:num w:numId="34">
    <w:abstractNumId w:val="2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5D"/>
    <w:rsid w:val="00020D05"/>
    <w:rsid w:val="0005070E"/>
    <w:rsid w:val="000538A8"/>
    <w:rsid w:val="00065BB0"/>
    <w:rsid w:val="00083EAE"/>
    <w:rsid w:val="000B0C7F"/>
    <w:rsid w:val="000C0ADB"/>
    <w:rsid w:val="000C5F58"/>
    <w:rsid w:val="000D1814"/>
    <w:rsid w:val="00123337"/>
    <w:rsid w:val="00125DE8"/>
    <w:rsid w:val="00136740"/>
    <w:rsid w:val="00146400"/>
    <w:rsid w:val="00166312"/>
    <w:rsid w:val="00196773"/>
    <w:rsid w:val="001A399C"/>
    <w:rsid w:val="001B4191"/>
    <w:rsid w:val="001C3B6A"/>
    <w:rsid w:val="001C4561"/>
    <w:rsid w:val="00210D23"/>
    <w:rsid w:val="0021788D"/>
    <w:rsid w:val="002335B5"/>
    <w:rsid w:val="00244A62"/>
    <w:rsid w:val="002600CB"/>
    <w:rsid w:val="00283725"/>
    <w:rsid w:val="002A375D"/>
    <w:rsid w:val="002E77C1"/>
    <w:rsid w:val="0032187D"/>
    <w:rsid w:val="00334BD4"/>
    <w:rsid w:val="00344D00"/>
    <w:rsid w:val="00362153"/>
    <w:rsid w:val="003705F1"/>
    <w:rsid w:val="00380450"/>
    <w:rsid w:val="003A1688"/>
    <w:rsid w:val="003E227F"/>
    <w:rsid w:val="00407005"/>
    <w:rsid w:val="00416192"/>
    <w:rsid w:val="00425277"/>
    <w:rsid w:val="00446FD9"/>
    <w:rsid w:val="004543EF"/>
    <w:rsid w:val="00473398"/>
    <w:rsid w:val="00481B79"/>
    <w:rsid w:val="00482214"/>
    <w:rsid w:val="00486212"/>
    <w:rsid w:val="004901EE"/>
    <w:rsid w:val="00493A76"/>
    <w:rsid w:val="004A26EF"/>
    <w:rsid w:val="004B320C"/>
    <w:rsid w:val="004E41B6"/>
    <w:rsid w:val="00506F93"/>
    <w:rsid w:val="005820CF"/>
    <w:rsid w:val="005944D5"/>
    <w:rsid w:val="005E5D70"/>
    <w:rsid w:val="005E6642"/>
    <w:rsid w:val="005F6955"/>
    <w:rsid w:val="006119FB"/>
    <w:rsid w:val="00614459"/>
    <w:rsid w:val="00635F7E"/>
    <w:rsid w:val="006379FC"/>
    <w:rsid w:val="00662093"/>
    <w:rsid w:val="006653A1"/>
    <w:rsid w:val="00693AC5"/>
    <w:rsid w:val="006C7D35"/>
    <w:rsid w:val="00717A92"/>
    <w:rsid w:val="00723D9D"/>
    <w:rsid w:val="00726EDD"/>
    <w:rsid w:val="00732C44"/>
    <w:rsid w:val="00775CF1"/>
    <w:rsid w:val="00783F7B"/>
    <w:rsid w:val="00792D28"/>
    <w:rsid w:val="007C242E"/>
    <w:rsid w:val="00813B05"/>
    <w:rsid w:val="00845E70"/>
    <w:rsid w:val="00863ACF"/>
    <w:rsid w:val="008A40DE"/>
    <w:rsid w:val="008A5E02"/>
    <w:rsid w:val="008B343E"/>
    <w:rsid w:val="008F17BA"/>
    <w:rsid w:val="009163A1"/>
    <w:rsid w:val="00920ACD"/>
    <w:rsid w:val="009247F8"/>
    <w:rsid w:val="009302C0"/>
    <w:rsid w:val="009571E0"/>
    <w:rsid w:val="00962E58"/>
    <w:rsid w:val="00992523"/>
    <w:rsid w:val="009A0CCD"/>
    <w:rsid w:val="009A24ED"/>
    <w:rsid w:val="009B3AFB"/>
    <w:rsid w:val="009B6101"/>
    <w:rsid w:val="009C571B"/>
    <w:rsid w:val="00A04F26"/>
    <w:rsid w:val="00A23927"/>
    <w:rsid w:val="00AA7871"/>
    <w:rsid w:val="00AA7EEB"/>
    <w:rsid w:val="00AB2B26"/>
    <w:rsid w:val="00AC70ED"/>
    <w:rsid w:val="00AD453B"/>
    <w:rsid w:val="00AF0627"/>
    <w:rsid w:val="00B025C1"/>
    <w:rsid w:val="00B17433"/>
    <w:rsid w:val="00B720E6"/>
    <w:rsid w:val="00B81F9C"/>
    <w:rsid w:val="00B95381"/>
    <w:rsid w:val="00B959E9"/>
    <w:rsid w:val="00BA22F2"/>
    <w:rsid w:val="00BA67FB"/>
    <w:rsid w:val="00BB03BE"/>
    <w:rsid w:val="00BB53D3"/>
    <w:rsid w:val="00BD7F83"/>
    <w:rsid w:val="00C157AE"/>
    <w:rsid w:val="00CB0424"/>
    <w:rsid w:val="00CB316C"/>
    <w:rsid w:val="00CB4A9B"/>
    <w:rsid w:val="00CC6EDF"/>
    <w:rsid w:val="00CF266E"/>
    <w:rsid w:val="00CF3A77"/>
    <w:rsid w:val="00D71A9E"/>
    <w:rsid w:val="00D965B0"/>
    <w:rsid w:val="00D97D5F"/>
    <w:rsid w:val="00DA63F6"/>
    <w:rsid w:val="00DB0E9D"/>
    <w:rsid w:val="00DD26A8"/>
    <w:rsid w:val="00DD5CEF"/>
    <w:rsid w:val="00DF7D7A"/>
    <w:rsid w:val="00E23E56"/>
    <w:rsid w:val="00E512CD"/>
    <w:rsid w:val="00E65035"/>
    <w:rsid w:val="00E77CB0"/>
    <w:rsid w:val="00E9620B"/>
    <w:rsid w:val="00EA5F72"/>
    <w:rsid w:val="00EE4402"/>
    <w:rsid w:val="00F127D2"/>
    <w:rsid w:val="00F34923"/>
    <w:rsid w:val="00F52323"/>
    <w:rsid w:val="00F53226"/>
    <w:rsid w:val="00F55508"/>
    <w:rsid w:val="00F72085"/>
    <w:rsid w:val="00F74515"/>
    <w:rsid w:val="00F75366"/>
    <w:rsid w:val="00FA3BEB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EC6178E-FCCD-44A5-9AAE-1B6967DC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2F2"/>
  </w:style>
  <w:style w:type="paragraph" w:styleId="Nadpis1">
    <w:name w:val="heading 1"/>
    <w:basedOn w:val="Nadpiskapitoly"/>
    <w:next w:val="Textnormy"/>
    <w:link w:val="Nadpis1Char"/>
    <w:qFormat/>
    <w:rsid w:val="00BA22F2"/>
    <w:pPr>
      <w:outlineLvl w:val="0"/>
    </w:pPr>
  </w:style>
  <w:style w:type="paragraph" w:styleId="Nadpis2">
    <w:name w:val="heading 2"/>
    <w:basedOn w:val="Nadpislnku"/>
    <w:next w:val="Textnormy"/>
    <w:qFormat/>
    <w:rsid w:val="00BA22F2"/>
    <w:pPr>
      <w:outlineLvl w:val="1"/>
    </w:pPr>
  </w:style>
  <w:style w:type="paragraph" w:styleId="Nadpis3">
    <w:name w:val="heading 3"/>
    <w:basedOn w:val="Nadpislnku"/>
    <w:next w:val="Textnormy"/>
    <w:qFormat/>
    <w:rsid w:val="00BA22F2"/>
    <w:pPr>
      <w:outlineLvl w:val="2"/>
    </w:pPr>
  </w:style>
  <w:style w:type="paragraph" w:styleId="Nadpis4">
    <w:name w:val="heading 4"/>
    <w:basedOn w:val="Nadpislnku"/>
    <w:next w:val="Textnormy"/>
    <w:qFormat/>
    <w:rsid w:val="00BA22F2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BA22F2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BA22F2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BA22F2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BA22F2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BA22F2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BA22F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BA22F2"/>
  </w:style>
  <w:style w:type="paragraph" w:customStyle="1" w:styleId="Nadpiskapitoly">
    <w:name w:val="Nadpis kapitoly"/>
    <w:basedOn w:val="Nadpislnku"/>
    <w:next w:val="Textnormy"/>
    <w:rsid w:val="00BA22F2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BA22F2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BA22F2"/>
    <w:pPr>
      <w:spacing w:after="120"/>
      <w:jc w:val="both"/>
    </w:pPr>
  </w:style>
  <w:style w:type="paragraph" w:customStyle="1" w:styleId="1StrTrZn">
    <w:name w:val="1StrTrZn"/>
    <w:basedOn w:val="Textnormy"/>
    <w:rsid w:val="00BA22F2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BA22F2"/>
    <w:pPr>
      <w:spacing w:before="480"/>
    </w:pPr>
  </w:style>
  <w:style w:type="paragraph" w:customStyle="1" w:styleId="1StrNN-1-23">
    <w:name w:val="1StrNN-1-23"/>
    <w:basedOn w:val="Textnormy"/>
    <w:rsid w:val="00BA22F2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BA22F2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BA22F2"/>
    <w:pPr>
      <w:numPr>
        <w:numId w:val="2"/>
      </w:numPr>
    </w:pPr>
  </w:style>
  <w:style w:type="paragraph" w:styleId="Rejstk1">
    <w:name w:val="index 1"/>
    <w:basedOn w:val="Textnormy"/>
    <w:next w:val="Textnormy"/>
    <w:rsid w:val="00BA22F2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BA22F2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BA22F2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BA22F2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BA22F2"/>
    <w:pPr>
      <w:spacing w:before="0" w:after="120"/>
      <w:ind w:left="284" w:hanging="284"/>
    </w:pPr>
  </w:style>
  <w:style w:type="paragraph" w:styleId="Zhlav">
    <w:name w:val="header"/>
    <w:basedOn w:val="Textnormy"/>
    <w:rsid w:val="00BA22F2"/>
    <w:pPr>
      <w:spacing w:after="360"/>
    </w:pPr>
    <w:rPr>
      <w:sz w:val="18"/>
    </w:rPr>
  </w:style>
  <w:style w:type="paragraph" w:styleId="Zpat">
    <w:name w:val="footer"/>
    <w:basedOn w:val="Textnormy"/>
    <w:rsid w:val="00BA22F2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BA22F2"/>
    <w:pPr>
      <w:spacing w:after="120"/>
    </w:pPr>
  </w:style>
  <w:style w:type="paragraph" w:styleId="Obsah2">
    <w:name w:val="toc 2"/>
    <w:basedOn w:val="Obsah1"/>
    <w:next w:val="Textnormy"/>
    <w:uiPriority w:val="39"/>
    <w:rsid w:val="00BA22F2"/>
  </w:style>
  <w:style w:type="paragraph" w:styleId="Obsah1">
    <w:name w:val="toc 1"/>
    <w:basedOn w:val="Textnormy"/>
    <w:next w:val="Textnormy"/>
    <w:uiPriority w:val="39"/>
    <w:rsid w:val="00BA22F2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styleId="Obsah5">
    <w:name w:val="toc 5"/>
    <w:basedOn w:val="Obsah1"/>
    <w:next w:val="Textnormy"/>
    <w:rsid w:val="00BA22F2"/>
  </w:style>
  <w:style w:type="paragraph" w:styleId="Obsah3">
    <w:name w:val="toc 3"/>
    <w:basedOn w:val="Obsah1"/>
    <w:next w:val="Textnormy"/>
    <w:rsid w:val="00BA22F2"/>
  </w:style>
  <w:style w:type="paragraph" w:styleId="Obsah4">
    <w:name w:val="toc 4"/>
    <w:basedOn w:val="Obsah1"/>
    <w:next w:val="Textnormy"/>
    <w:rsid w:val="00BA22F2"/>
  </w:style>
  <w:style w:type="paragraph" w:styleId="Obsah6">
    <w:name w:val="toc 6"/>
    <w:basedOn w:val="Obsah1"/>
    <w:next w:val="Textnormy"/>
    <w:semiHidden/>
    <w:rsid w:val="00BA22F2"/>
  </w:style>
  <w:style w:type="paragraph" w:styleId="Obsah7">
    <w:name w:val="toc 7"/>
    <w:basedOn w:val="Obsah1"/>
    <w:next w:val="Textnormy"/>
    <w:semiHidden/>
    <w:rsid w:val="00BA22F2"/>
  </w:style>
  <w:style w:type="paragraph" w:styleId="Obsah8">
    <w:name w:val="toc 8"/>
    <w:basedOn w:val="Obsah1"/>
    <w:next w:val="Textnormy"/>
    <w:semiHidden/>
    <w:rsid w:val="00BA22F2"/>
  </w:style>
  <w:style w:type="character" w:styleId="Znakapoznpodarou">
    <w:name w:val="footnote reference"/>
    <w:basedOn w:val="Standardnpsmoodstavce"/>
    <w:rsid w:val="00BA22F2"/>
    <w:rPr>
      <w:vertAlign w:val="superscript"/>
    </w:rPr>
  </w:style>
  <w:style w:type="paragraph" w:customStyle="1" w:styleId="ABCseznamCZ">
    <w:name w:val="ABC seznamCZ"/>
    <w:basedOn w:val="Textnormy"/>
    <w:rsid w:val="00BA22F2"/>
    <w:pPr>
      <w:numPr>
        <w:numId w:val="11"/>
      </w:numPr>
    </w:pPr>
  </w:style>
  <w:style w:type="paragraph" w:customStyle="1" w:styleId="slovanseznamvnorm">
    <w:name w:val="Číslovaný seznam v normě"/>
    <w:basedOn w:val="Textnormy"/>
    <w:rsid w:val="00BA22F2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BA22F2"/>
    <w:pPr>
      <w:numPr>
        <w:numId w:val="4"/>
      </w:numPr>
      <w:tabs>
        <w:tab w:val="clear" w:pos="360"/>
      </w:tabs>
    </w:pPr>
  </w:style>
  <w:style w:type="paragraph" w:customStyle="1" w:styleId="Obrzek">
    <w:name w:val="Obrázek"/>
    <w:basedOn w:val="Textnormy"/>
    <w:next w:val="Normln"/>
    <w:rsid w:val="00BA22F2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6379FC"/>
    <w:pPr>
      <w:keepNext w:val="0"/>
      <w:jc w:val="center"/>
    </w:pPr>
  </w:style>
  <w:style w:type="paragraph" w:customStyle="1" w:styleId="Abecednseznam">
    <w:name w:val="Abecední seznam"/>
    <w:basedOn w:val="Textnormy"/>
    <w:rsid w:val="00BA22F2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BA22F2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BA22F2"/>
    <w:pPr>
      <w:ind w:left="1600"/>
    </w:pPr>
  </w:style>
  <w:style w:type="paragraph" w:customStyle="1" w:styleId="1Str1Rad">
    <w:name w:val="1Str1Rad"/>
    <w:basedOn w:val="Textnormy"/>
    <w:rsid w:val="00BA22F2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BA22F2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BA22F2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BA22F2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BA22F2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BA22F2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BA22F2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BA22F2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BA22F2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BA22F2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BA22F2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BA22F2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BA22F2"/>
    <w:pPr>
      <w:spacing w:before="300"/>
    </w:pPr>
  </w:style>
  <w:style w:type="paragraph" w:customStyle="1" w:styleId="1StrNN-X">
    <w:name w:val="1StrNN-X"/>
    <w:basedOn w:val="1StrNN-1-23"/>
    <w:rsid w:val="00BA22F2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BA22F2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BA22F2"/>
    <w:pPr>
      <w:spacing w:before="800"/>
    </w:pPr>
  </w:style>
  <w:style w:type="paragraph" w:customStyle="1" w:styleId="1StrNN-2-4">
    <w:name w:val="1StrNN-2-4"/>
    <w:basedOn w:val="1StrNN-1-23"/>
    <w:rsid w:val="00BA22F2"/>
  </w:style>
  <w:style w:type="paragraph" w:customStyle="1" w:styleId="1StrNN-3-4">
    <w:name w:val="1StrNN-3-4"/>
    <w:basedOn w:val="1StrNN-1-23"/>
    <w:rsid w:val="00BA22F2"/>
    <w:pPr>
      <w:spacing w:before="460"/>
    </w:pPr>
  </w:style>
  <w:style w:type="paragraph" w:customStyle="1" w:styleId="1StrNN-4-4">
    <w:name w:val="1StrNN-4-4"/>
    <w:basedOn w:val="1StrNN-1-23"/>
    <w:rsid w:val="00BA22F2"/>
    <w:pPr>
      <w:spacing w:before="340"/>
    </w:pPr>
  </w:style>
  <w:style w:type="paragraph" w:customStyle="1" w:styleId="ABCSeznamUS">
    <w:name w:val="ABC SeznamUS"/>
    <w:basedOn w:val="Textnormy"/>
    <w:rsid w:val="00BA22F2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BA22F2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BA22F2"/>
    <w:pPr>
      <w:jc w:val="left"/>
    </w:pPr>
  </w:style>
  <w:style w:type="paragraph" w:customStyle="1" w:styleId="1StrNN-4-3">
    <w:name w:val="1StrNN-4-3"/>
    <w:basedOn w:val="1StrNN-1-23"/>
    <w:rsid w:val="00BA22F2"/>
    <w:pPr>
      <w:spacing w:before="160"/>
    </w:pPr>
  </w:style>
  <w:style w:type="paragraph" w:customStyle="1" w:styleId="Upozornn">
    <w:name w:val="Upozornění"/>
    <w:basedOn w:val="Normln"/>
    <w:rsid w:val="00BA22F2"/>
    <w:pPr>
      <w:framePr w:w="9356" w:hSpace="142" w:wrap="around" w:hAnchor="margin" w:yAlign="bottom" w:anchorLock="1"/>
      <w:jc w:val="both"/>
    </w:pPr>
    <w:rPr>
      <w:sz w:val="18"/>
    </w:rPr>
  </w:style>
  <w:style w:type="paragraph" w:styleId="Zptenadresanaoblku">
    <w:name w:val="envelope return"/>
    <w:basedOn w:val="Normln"/>
    <w:semiHidden/>
    <w:rsid w:val="00BA22F2"/>
  </w:style>
  <w:style w:type="character" w:customStyle="1" w:styleId="TextnormyChar1">
    <w:name w:val="Text normy Char1"/>
    <w:basedOn w:val="Standardnpsmoodstavce"/>
    <w:link w:val="Textnormy"/>
    <w:rsid w:val="00BA22F2"/>
  </w:style>
  <w:style w:type="paragraph" w:customStyle="1" w:styleId="bibliografie">
    <w:name w:val="bibliografie"/>
    <w:basedOn w:val="slovanseznamvnorm"/>
    <w:next w:val="Textnormy"/>
    <w:rsid w:val="00BA22F2"/>
    <w:pPr>
      <w:numPr>
        <w:numId w:val="8"/>
      </w:numPr>
      <w:tabs>
        <w:tab w:val="clear" w:pos="360"/>
      </w:tabs>
      <w:ind w:left="567" w:hanging="567"/>
    </w:pPr>
  </w:style>
  <w:style w:type="character" w:customStyle="1" w:styleId="Nadpis1Char">
    <w:name w:val="Nadpis 1 Char"/>
    <w:link w:val="Nadpis1"/>
    <w:rsid w:val="00BA22F2"/>
    <w:rPr>
      <w:b/>
      <w:sz w:val="24"/>
    </w:rPr>
  </w:style>
  <w:style w:type="character" w:styleId="Hypertextovodkaz">
    <w:name w:val="Hyperlink"/>
    <w:unhideWhenUsed/>
    <w:rsid w:val="00BA22F2"/>
    <w:rPr>
      <w:color w:val="0000FF"/>
      <w:u w:val="single"/>
    </w:rPr>
  </w:style>
  <w:style w:type="table" w:styleId="Mkatabulky">
    <w:name w:val="Table Grid"/>
    <w:basedOn w:val="Normlntabulka"/>
    <w:rsid w:val="00BA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nhideWhenUsed/>
    <w:rsid w:val="00BA22F2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BA22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BA22F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rsid w:val="00BA22F2"/>
  </w:style>
  <w:style w:type="character" w:customStyle="1" w:styleId="TextkomenteChar">
    <w:name w:val="Text komentáře Char"/>
    <w:basedOn w:val="Standardnpsmoodstavce"/>
    <w:link w:val="Textkomente"/>
    <w:rsid w:val="00BA22F2"/>
  </w:style>
  <w:style w:type="character" w:customStyle="1" w:styleId="TextnormyCharChar">
    <w:name w:val="Text normy Char Char"/>
    <w:semiHidden/>
    <w:rsid w:val="00BA22F2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BA22F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A2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A22F2"/>
    <w:rPr>
      <w:b/>
      <w:bCs/>
    </w:rPr>
  </w:style>
  <w:style w:type="character" w:customStyle="1" w:styleId="NadpislnkuChar">
    <w:name w:val="Nadpis článku Char"/>
    <w:link w:val="Nadpislnku"/>
    <w:rsid w:val="00020D05"/>
    <w:rPr>
      <w:b/>
    </w:rPr>
  </w:style>
  <w:style w:type="character" w:styleId="Sledovanodkaz">
    <w:name w:val="FollowedHyperlink"/>
    <w:basedOn w:val="Standardnpsmoodstavce"/>
    <w:semiHidden/>
    <w:unhideWhenUsed/>
    <w:rsid w:val="00020D05"/>
    <w:rPr>
      <w:color w:val="954F72" w:themeColor="followedHyperlink"/>
      <w:u w:val="single"/>
    </w:rPr>
  </w:style>
  <w:style w:type="paragraph" w:customStyle="1" w:styleId="Bibliografie1">
    <w:name w:val="Bibliografie1"/>
    <w:basedOn w:val="Normln"/>
    <w:rsid w:val="00B17433"/>
    <w:pPr>
      <w:numPr>
        <w:numId w:val="41"/>
      </w:numPr>
      <w:tabs>
        <w:tab w:val="clear" w:pos="360"/>
        <w:tab w:val="left" w:pos="660"/>
      </w:tabs>
      <w:ind w:left="660" w:hanging="660"/>
    </w:pPr>
  </w:style>
  <w:style w:type="paragraph" w:customStyle="1" w:styleId="NadpisObr">
    <w:name w:val="NadpisObr"/>
    <w:basedOn w:val="Nadpis4"/>
    <w:next w:val="Textnormy"/>
    <w:qFormat/>
    <w:rsid w:val="00BA22F2"/>
    <w:pPr>
      <w:keepNext w:val="0"/>
      <w:keepLines w:val="0"/>
      <w:widowControl w:val="0"/>
      <w:jc w:val="center"/>
    </w:pPr>
  </w:style>
  <w:style w:type="paragraph" w:customStyle="1" w:styleId="NadpisTab">
    <w:name w:val="NadpisTab"/>
    <w:basedOn w:val="Nadpis4"/>
    <w:next w:val="Textnormy"/>
    <w:qFormat/>
    <w:rsid w:val="00BA22F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wmf"/><Relationship Id="rId18" Type="http://schemas.openxmlformats.org/officeDocument/2006/relationships/hyperlink" Target="http://www.iso.org/iso/foreword.html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://www.iso.org/obp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so.org/patents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iso.org/directives" TargetMode="External"/><Relationship Id="rId20" Type="http://schemas.openxmlformats.org/officeDocument/2006/relationships/hyperlink" Target="http://www.electropedia.org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www.iso.org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iso.org/members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opyright@iso.org" TargetMode="External"/><Relationship Id="rId22" Type="http://schemas.openxmlformats.org/officeDocument/2006/relationships/hyperlink" Target="http://ops.fhwa.dot.gov/publications/seitsguide/index.htm" TargetMode="External"/><Relationship Id="rId27" Type="http://schemas.openxmlformats.org/officeDocument/2006/relationships/header" Target="header6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2020\TNI_T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TNI_TR.dotx</Template>
  <TotalTime>37</TotalTime>
  <Pages>7</Pages>
  <Words>1682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ÚNMZ</Company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Miloslava</dc:creator>
  <cp:keywords/>
  <cp:lastModifiedBy>Koutská Miloslava</cp:lastModifiedBy>
  <cp:revision>19</cp:revision>
  <cp:lastPrinted>2017-12-29T08:14:00Z</cp:lastPrinted>
  <dcterms:created xsi:type="dcterms:W3CDTF">2018-02-14T08:26:00Z</dcterms:created>
  <dcterms:modified xsi:type="dcterms:W3CDTF">2020-02-11T07:18:00Z</dcterms:modified>
</cp:coreProperties>
</file>