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9F0F8E" w14:textId="77777777" w:rsidR="00A83EAB" w:rsidRPr="00AC0FA5" w:rsidRDefault="002F6D6F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F4BBEA5" wp14:editId="57DD8F4A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5715" b="1841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3EC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 w:rsidRPr="00AC0FA5">
        <w:t>ČESKÁ TECHNICKÁ NORMA</w:t>
      </w:r>
    </w:p>
    <w:p w14:paraId="6E246CEF" w14:textId="44986F2A" w:rsidR="00A83EAB" w:rsidRPr="00AC0FA5" w:rsidRDefault="00A83EAB">
      <w:pPr>
        <w:pStyle w:val="1Str1Rad"/>
        <w:spacing w:after="60"/>
        <w:rPr>
          <w:b/>
        </w:rPr>
      </w:pPr>
      <w:r w:rsidRPr="00AC0FA5">
        <w:rPr>
          <w:sz w:val="16"/>
        </w:rPr>
        <w:t xml:space="preserve">ICS </w:t>
      </w:r>
      <w:r w:rsidR="00417357">
        <w:rPr>
          <w:sz w:val="16"/>
        </w:rPr>
        <w:t>97.040.30</w:t>
      </w:r>
      <w:r w:rsidRPr="00AC0FA5">
        <w:tab/>
      </w:r>
      <w:r w:rsidRPr="00AC0FA5">
        <w:tab/>
      </w:r>
      <w:r w:rsidRPr="00AC0FA5">
        <w:rPr>
          <w:b/>
        </w:rPr>
        <w:t xml:space="preserve">Měsíc </w:t>
      </w:r>
      <w:r w:rsidR="000629D7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9D5799" w:rsidRPr="00AC0FA5" w14:paraId="0934651F" w14:textId="77777777" w:rsidTr="0066603E">
        <w:trPr>
          <w:cantSplit/>
          <w:trHeight w:val="1701"/>
        </w:trPr>
        <w:tc>
          <w:tcPr>
            <w:tcW w:w="7371" w:type="dxa"/>
          </w:tcPr>
          <w:p w14:paraId="06740F6E" w14:textId="77777777" w:rsidR="009D5799" w:rsidRDefault="009D5799" w:rsidP="008D45AC">
            <w:pPr>
              <w:pStyle w:val="1StrNN-X"/>
            </w:pPr>
            <w:r>
              <w:t>Elektrické spotřebiče pro domácnost a podobné účely – Bezpečnost –</w:t>
            </w:r>
            <w:r>
              <w:br/>
              <w:t xml:space="preserve">Část 2-24: Zvláštní požadavky </w:t>
            </w:r>
            <w:r>
              <w:br/>
              <w:t>na chladicí spotřebiče, spotřebiče na výrobu zmrzliny a výrobníky ledu</w:t>
            </w:r>
          </w:p>
        </w:tc>
        <w:tc>
          <w:tcPr>
            <w:tcW w:w="2552" w:type="dxa"/>
          </w:tcPr>
          <w:p w14:paraId="2D809327" w14:textId="77777777" w:rsidR="009D5799" w:rsidRPr="00CF6218" w:rsidRDefault="009D5799" w:rsidP="008D45AC">
            <w:pPr>
              <w:pStyle w:val="1StrCN"/>
              <w:rPr>
                <w:szCs w:val="32"/>
              </w:rPr>
            </w:pPr>
            <w:r>
              <w:t>ČSN</w:t>
            </w:r>
            <w:r>
              <w:br/>
              <w:t>EN 60335-2-24</w:t>
            </w:r>
            <w:r>
              <w:br/>
            </w:r>
            <w:r>
              <w:rPr>
                <w:b w:val="0"/>
                <w:sz w:val="28"/>
              </w:rPr>
              <w:t>ed. 5</w:t>
            </w:r>
            <w:r>
              <w:rPr>
                <w:b w:val="0"/>
                <w:sz w:val="28"/>
              </w:rPr>
              <w:br/>
            </w:r>
            <w:r>
              <w:rPr>
                <w:szCs w:val="32"/>
              </w:rPr>
              <w:t>ZMĚNA A2</w:t>
            </w:r>
          </w:p>
          <w:p w14:paraId="389A0EBE" w14:textId="77777777" w:rsidR="009D5799" w:rsidRDefault="009D5799" w:rsidP="008D45AC">
            <w:pPr>
              <w:pStyle w:val="1StrTrZn"/>
            </w:pPr>
            <w:r>
              <w:t>36 1045</w:t>
            </w:r>
          </w:p>
        </w:tc>
      </w:tr>
    </w:tbl>
    <w:p w14:paraId="3A17FE6D" w14:textId="77777777" w:rsidR="00A83EAB" w:rsidRPr="00AC0FA5" w:rsidRDefault="00A83EAB" w:rsidP="00AB2945">
      <w:pPr>
        <w:pStyle w:val="Shodnost"/>
      </w:pPr>
      <w:r w:rsidRPr="00AC0FA5">
        <w:t>idt I</w:t>
      </w:r>
      <w:r w:rsidR="00B03FB2" w:rsidRPr="00AC0FA5">
        <w:t>EC</w:t>
      </w:r>
      <w:r w:rsidRPr="00AC0FA5">
        <w:t> </w:t>
      </w:r>
      <w:r w:rsidR="009D5799">
        <w:t>60335-2-24</w:t>
      </w:r>
      <w:r w:rsidRPr="00AC0FA5">
        <w:t>:</w:t>
      </w:r>
      <w:r w:rsidR="009D5799">
        <w:t>2010/A2:2017</w:t>
      </w:r>
    </w:p>
    <w:p w14:paraId="45885CDC" w14:textId="77777777" w:rsidR="009D5799" w:rsidRPr="00031551" w:rsidRDefault="009D5799" w:rsidP="009D5799">
      <w:pPr>
        <w:pStyle w:val="Cizojazynnzev"/>
        <w:rPr>
          <w:noProof/>
          <w:lang w:val="de-DE"/>
        </w:rPr>
      </w:pPr>
      <w:r w:rsidRPr="00031551">
        <w:rPr>
          <w:noProof/>
          <w:lang w:val="de-DE"/>
        </w:rPr>
        <w:t>Amendment</w:t>
      </w:r>
    </w:p>
    <w:p w14:paraId="1B5F45C8" w14:textId="77777777" w:rsidR="009D5799" w:rsidRPr="00031551" w:rsidRDefault="009D5799" w:rsidP="009D5799">
      <w:pPr>
        <w:pStyle w:val="Cizojazynnzev"/>
        <w:rPr>
          <w:noProof/>
          <w:lang w:val="de-DE"/>
        </w:rPr>
      </w:pPr>
      <w:r w:rsidRPr="00031551">
        <w:rPr>
          <w:noProof/>
          <w:lang w:val="de-DE"/>
        </w:rPr>
        <w:t>Amendement</w:t>
      </w:r>
    </w:p>
    <w:p w14:paraId="3104C5AD" w14:textId="77777777" w:rsidR="009D5799" w:rsidRPr="00031551" w:rsidRDefault="009D5799" w:rsidP="009D5799">
      <w:pPr>
        <w:pStyle w:val="Cizojazynnzev"/>
        <w:spacing w:after="840"/>
        <w:rPr>
          <w:noProof/>
          <w:lang w:val="de-DE"/>
        </w:rPr>
      </w:pPr>
      <w:r w:rsidRPr="00031551">
        <w:rPr>
          <w:noProof/>
          <w:lang w:val="de-DE"/>
        </w:rPr>
        <w:t>Änderung</w:t>
      </w:r>
    </w:p>
    <w:p w14:paraId="1F204448" w14:textId="77777777" w:rsidR="009D5799" w:rsidRPr="00AC0FA5" w:rsidRDefault="009D5799" w:rsidP="009D5799">
      <w:pPr>
        <w:pStyle w:val="Textnormy"/>
      </w:pPr>
      <w:r>
        <w:t>Tato změna ČSN EN 60335-2-24 ed. 5:2010 je českou verzí změny EN 60335-2-24:2010/A2:2019</w:t>
      </w:r>
      <w:r w:rsidRPr="00AC0FA5">
        <w:t>. Překlad byl zajištěn</w:t>
      </w:r>
      <w:r>
        <w:t xml:space="preserve"> Českou agenturou pro standardizaci</w:t>
      </w:r>
      <w:r w:rsidRPr="00AC0FA5">
        <w:t>. Má stejný status jako oficiální verze.</w:t>
      </w:r>
    </w:p>
    <w:p w14:paraId="33E84E1B" w14:textId="77777777" w:rsidR="009D5799" w:rsidRPr="00F557BA" w:rsidRDefault="009D5799" w:rsidP="009D5799">
      <w:pPr>
        <w:pStyle w:val="Textnormy"/>
        <w:jc w:val="left"/>
        <w:rPr>
          <w:lang w:val="en-GB"/>
        </w:rPr>
      </w:pPr>
      <w:r w:rsidRPr="00F557BA">
        <w:rPr>
          <w:lang w:val="en-GB"/>
        </w:rPr>
        <w:t>This Amendment to ČSN EN 60335-2-24 ed. 5:2010 is the Czech version of the Amendment EN 60335</w:t>
      </w:r>
      <w:r w:rsidRPr="00F557BA">
        <w:rPr>
          <w:lang w:val="en-GB"/>
        </w:rPr>
        <w:noBreakHyphen/>
        <w:t>2</w:t>
      </w:r>
      <w:r w:rsidRPr="00F557BA">
        <w:rPr>
          <w:lang w:val="en-GB"/>
        </w:rPr>
        <w:noBreakHyphen/>
        <w:t>24:2010/A</w:t>
      </w:r>
      <w:r>
        <w:rPr>
          <w:lang w:val="en-GB"/>
        </w:rPr>
        <w:t>2</w:t>
      </w:r>
      <w:r w:rsidRPr="00F557BA">
        <w:rPr>
          <w:lang w:val="en-GB"/>
        </w:rPr>
        <w:t xml:space="preserve">:2019. It was translated by the </w:t>
      </w:r>
      <w:r w:rsidRPr="00D8780A">
        <w:rPr>
          <w:rFonts w:cs="Arial"/>
          <w:lang w:val="en-GB"/>
        </w:rPr>
        <w:t>Czech Standardization Agency</w:t>
      </w:r>
      <w:r w:rsidRPr="00F557BA">
        <w:rPr>
          <w:lang w:val="en-GB"/>
        </w:rPr>
        <w:t>. It has the same status as the official version.</w:t>
      </w:r>
    </w:p>
    <w:p w14:paraId="72093460" w14:textId="77777777" w:rsidR="00A83EAB" w:rsidRPr="00AC0FA5" w:rsidRDefault="00A83EAB">
      <w:pPr>
        <w:pStyle w:val="Textnormy"/>
        <w:tabs>
          <w:tab w:val="right" w:pos="9923"/>
        </w:tabs>
      </w:pPr>
    </w:p>
    <w:p w14:paraId="662B4D85" w14:textId="77777777" w:rsidR="00A83EAB" w:rsidRPr="00AC0FA5" w:rsidRDefault="00A83EAB">
      <w:pPr>
        <w:pStyle w:val="Textnormy"/>
        <w:tabs>
          <w:tab w:val="right" w:pos="9923"/>
        </w:tabs>
        <w:sectPr w:rsidR="00A83EAB" w:rsidRPr="00AC0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14:paraId="2649D0E4" w14:textId="77777777" w:rsidR="00A83EAB" w:rsidRPr="00AC0FA5" w:rsidRDefault="00A83EAB">
      <w:pPr>
        <w:pStyle w:val="Nadpiskapitoly"/>
        <w:spacing w:before="0"/>
      </w:pPr>
      <w:r w:rsidRPr="00AC0FA5">
        <w:lastRenderedPageBreak/>
        <w:t>Národní předmluva</w:t>
      </w:r>
    </w:p>
    <w:p w14:paraId="78DF920B" w14:textId="77777777" w:rsidR="00A83EAB" w:rsidRDefault="00A83EAB">
      <w:pPr>
        <w:pStyle w:val="Nadpislnku"/>
      </w:pPr>
      <w:r w:rsidRPr="00AC0FA5">
        <w:t>Informace</w:t>
      </w:r>
      <w:r w:rsidR="000E3DE6" w:rsidRPr="00AC0FA5">
        <w:t xml:space="preserve"> o </w:t>
      </w:r>
      <w:r w:rsidRPr="00AC0FA5">
        <w:t>citovaných dokumentech</w:t>
      </w:r>
    </w:p>
    <w:p w14:paraId="33F29A52" w14:textId="77777777" w:rsidR="006D7EEA" w:rsidRDefault="006D7EEA" w:rsidP="006D7EEA">
      <w:pPr>
        <w:pStyle w:val="Textnormy"/>
      </w:pPr>
      <w:r>
        <w:t>IEC 60079-20-1</w:t>
      </w:r>
      <w:r>
        <w:t> </w:t>
      </w:r>
      <w:r>
        <w:t>zavedena v ČSN EN 60079-20-1 (33 2320) Výbušné atmosféry – Část 20-1: Materiálové vlastnosti pro klasifikaci plynů a par – Zkušební metody a data</w:t>
      </w:r>
    </w:p>
    <w:p w14:paraId="7D170C09" w14:textId="77777777" w:rsidR="006D7EEA" w:rsidRDefault="006D7EEA" w:rsidP="006D7EEA">
      <w:pPr>
        <w:pStyle w:val="Textnormy"/>
      </w:pPr>
      <w:r>
        <w:t>ISO 817</w:t>
      </w:r>
      <w:r>
        <w:t> </w:t>
      </w:r>
      <w:r>
        <w:t>dosud nezavedena</w:t>
      </w:r>
    </w:p>
    <w:p w14:paraId="7835A3B6" w14:textId="77777777" w:rsidR="006D7EEA" w:rsidRDefault="006D7EEA" w:rsidP="006D7EEA">
      <w:pPr>
        <w:pStyle w:val="Textnormy"/>
      </w:pPr>
      <w:r>
        <w:t>ISO 5149-1</w:t>
      </w:r>
      <w:r>
        <w:t> </w:t>
      </w:r>
      <w:r>
        <w:t>dosud nezavedena</w:t>
      </w:r>
    </w:p>
    <w:p w14:paraId="3CD6736E" w14:textId="77777777" w:rsidR="006D7EEA" w:rsidRPr="00D8780A" w:rsidRDefault="006D7EEA" w:rsidP="006D7EEA">
      <w:pPr>
        <w:pStyle w:val="Nadpislnku"/>
      </w:pPr>
      <w:r w:rsidRPr="00D8780A">
        <w:t>Vysvětlivky k textu této změny</w:t>
      </w:r>
    </w:p>
    <w:p w14:paraId="0A17159C" w14:textId="77777777" w:rsidR="006D7EEA" w:rsidRPr="00D8780A" w:rsidRDefault="006D7EEA" w:rsidP="006D7EEA">
      <w:pPr>
        <w:pStyle w:val="Textnormy"/>
      </w:pPr>
      <w:r w:rsidRPr="00D8780A">
        <w:t>V případě nedatovaných odkazů na evropské/mezinárodní normy jsou ČSN uvedené v člán</w:t>
      </w:r>
      <w:r w:rsidR="00804375" w:rsidRPr="00D8780A">
        <w:t>ku</w:t>
      </w:r>
      <w:r w:rsidRPr="00D8780A">
        <w:t xml:space="preserve"> „Informace o citovaných dokumentech“ nejnovějšími vydáními, platnými v době schválení této normy. Při používání této normy je třeba vždy použít taková vydání ČSN, která přejímají nejnovější vydání nedatovaných evropských/mezinárodních norem (včetně všech změn).</w:t>
      </w:r>
    </w:p>
    <w:p w14:paraId="32A4C290" w14:textId="77777777" w:rsidR="00B77989" w:rsidRPr="00AC0FA5" w:rsidRDefault="00B77989" w:rsidP="00B77989">
      <w:pPr>
        <w:pStyle w:val="Nadpislnku"/>
        <w:rPr>
          <w:b w:val="0"/>
        </w:rPr>
      </w:pPr>
      <w:r w:rsidRPr="00AC0FA5">
        <w:t>Informativní údaje</w:t>
      </w:r>
      <w:r w:rsidR="000E3DE6" w:rsidRPr="00AC0FA5">
        <w:t xml:space="preserve"> z </w:t>
      </w:r>
      <w:r w:rsidRPr="00AC0FA5">
        <w:t>IEC </w:t>
      </w:r>
      <w:r w:rsidR="009D5799">
        <w:t>60335-2-24:2010/A</w:t>
      </w:r>
      <w:r w:rsidR="00390EE2">
        <w:t>MD</w:t>
      </w:r>
      <w:r w:rsidR="009D5799">
        <w:t>2:2017</w:t>
      </w:r>
    </w:p>
    <w:p w14:paraId="75C8CD53" w14:textId="241F62C4" w:rsidR="006D7EEA" w:rsidRPr="003446D4" w:rsidRDefault="006D7EEA" w:rsidP="006D7EEA">
      <w:pPr>
        <w:pStyle w:val="Textnormy"/>
      </w:pPr>
      <w:r w:rsidRPr="003446D4">
        <w:t>T</w:t>
      </w:r>
      <w:r>
        <w:t>uto změnu</w:t>
      </w:r>
      <w:r w:rsidRPr="003446D4">
        <w:t xml:space="preserve"> </w:t>
      </w:r>
      <w:r>
        <w:t xml:space="preserve">vypracovala subkomise 61C </w:t>
      </w:r>
      <w:r w:rsidR="00422E72">
        <w:rPr>
          <w:i/>
        </w:rPr>
        <w:t>Bezpečnost c</w:t>
      </w:r>
      <w:r w:rsidRPr="0069701E">
        <w:rPr>
          <w:i/>
        </w:rPr>
        <w:t>hladicí</w:t>
      </w:r>
      <w:r w:rsidR="00422E72">
        <w:rPr>
          <w:i/>
        </w:rPr>
        <w:t>ch</w:t>
      </w:r>
      <w:r w:rsidRPr="0069701E">
        <w:rPr>
          <w:i/>
        </w:rPr>
        <w:t xml:space="preserve"> spotřebič</w:t>
      </w:r>
      <w:r w:rsidR="00422E72">
        <w:rPr>
          <w:i/>
        </w:rPr>
        <w:t>ů</w:t>
      </w:r>
      <w:r w:rsidRPr="0069701E">
        <w:rPr>
          <w:i/>
        </w:rPr>
        <w:t xml:space="preserve"> pro domácnost</w:t>
      </w:r>
      <w:r>
        <w:rPr>
          <w:i/>
        </w:rPr>
        <w:t xml:space="preserve"> a komerční použití</w:t>
      </w:r>
      <w:r>
        <w:t xml:space="preserve"> technické komise</w:t>
      </w:r>
      <w:r w:rsidRPr="003446D4">
        <w:t xml:space="preserve"> IEC</w:t>
      </w:r>
      <w:r>
        <w:t>/</w:t>
      </w:r>
      <w:r w:rsidRPr="003446D4">
        <w:t xml:space="preserve">TC 61 </w:t>
      </w:r>
      <w:r w:rsidRPr="00690366">
        <w:rPr>
          <w:i/>
        </w:rPr>
        <w:t>Bezpečnost elektrických spotřebičů pro domácnost a podobné účely</w:t>
      </w:r>
      <w:r w:rsidRPr="003446D4">
        <w:t>.</w:t>
      </w:r>
    </w:p>
    <w:p w14:paraId="3379E024" w14:textId="77777777" w:rsidR="00B77989" w:rsidRPr="00AC0FA5" w:rsidRDefault="006D7EEA" w:rsidP="00D8780A">
      <w:pPr>
        <w:pStyle w:val="Textnormy"/>
        <w:keepNext/>
        <w:spacing w:after="240"/>
      </w:pPr>
      <w:r w:rsidRPr="00AC0FA5">
        <w:t xml:space="preserve">Text této </w:t>
      </w:r>
      <w:r>
        <w:t>změny</w:t>
      </w:r>
      <w:r w:rsidRPr="00AC0FA5">
        <w:t xml:space="preserve"> se zakládá na těchto dokumentech: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77989" w:rsidRPr="00AC0FA5" w14:paraId="1A345971" w14:textId="77777777">
        <w:trPr>
          <w:jc w:val="center"/>
        </w:trPr>
        <w:tc>
          <w:tcPr>
            <w:tcW w:w="2268" w:type="dxa"/>
          </w:tcPr>
          <w:p w14:paraId="659889A3" w14:textId="77777777" w:rsidR="00B77989" w:rsidRPr="00AC0FA5" w:rsidRDefault="00B77989" w:rsidP="00E20F07">
            <w:pPr>
              <w:pStyle w:val="Texttabulky"/>
              <w:jc w:val="center"/>
            </w:pPr>
            <w:r w:rsidRPr="00AC0FA5">
              <w:t>FDIS</w:t>
            </w:r>
          </w:p>
        </w:tc>
        <w:tc>
          <w:tcPr>
            <w:tcW w:w="2268" w:type="dxa"/>
          </w:tcPr>
          <w:p w14:paraId="27E513C6" w14:textId="77777777" w:rsidR="00B77989" w:rsidRPr="00AC0FA5" w:rsidRDefault="00B77989" w:rsidP="00E20F07">
            <w:pPr>
              <w:pStyle w:val="Texttabulky"/>
              <w:jc w:val="center"/>
            </w:pPr>
            <w:r w:rsidRPr="00AC0FA5">
              <w:t>Zpráva</w:t>
            </w:r>
            <w:r w:rsidR="000E3DE6" w:rsidRPr="00AC0FA5">
              <w:t xml:space="preserve"> o </w:t>
            </w:r>
            <w:r w:rsidRPr="00AC0FA5">
              <w:t>hlasování</w:t>
            </w:r>
          </w:p>
        </w:tc>
      </w:tr>
      <w:tr w:rsidR="00B77989" w:rsidRPr="00AC0FA5" w14:paraId="5DA36F22" w14:textId="77777777">
        <w:trPr>
          <w:jc w:val="center"/>
        </w:trPr>
        <w:tc>
          <w:tcPr>
            <w:tcW w:w="2268" w:type="dxa"/>
          </w:tcPr>
          <w:p w14:paraId="6557F49A" w14:textId="77777777" w:rsidR="00B77989" w:rsidRPr="00AC0FA5" w:rsidRDefault="006D7EEA" w:rsidP="006D7EEA">
            <w:pPr>
              <w:pStyle w:val="Texttabulky"/>
              <w:jc w:val="center"/>
            </w:pPr>
            <w:r>
              <w:t>61C</w:t>
            </w:r>
            <w:r w:rsidR="00B77989" w:rsidRPr="00AC0FA5">
              <w:t>/</w:t>
            </w:r>
            <w:r>
              <w:t>694</w:t>
            </w:r>
            <w:r w:rsidR="00B77989" w:rsidRPr="00AC0FA5">
              <w:t>/FDIS</w:t>
            </w:r>
          </w:p>
        </w:tc>
        <w:tc>
          <w:tcPr>
            <w:tcW w:w="2268" w:type="dxa"/>
          </w:tcPr>
          <w:p w14:paraId="7A4FACC1" w14:textId="77777777" w:rsidR="00B77989" w:rsidRPr="00AC0FA5" w:rsidRDefault="006D7EEA" w:rsidP="006D7EEA">
            <w:pPr>
              <w:pStyle w:val="Texttabulky"/>
              <w:jc w:val="center"/>
            </w:pPr>
            <w:r>
              <w:t>61C</w:t>
            </w:r>
            <w:r w:rsidR="00B77989" w:rsidRPr="00AC0FA5">
              <w:t>/</w:t>
            </w:r>
            <w:r>
              <w:t>700</w:t>
            </w:r>
            <w:r w:rsidR="00B77989" w:rsidRPr="00AC0FA5">
              <w:t>/RVD</w:t>
            </w:r>
          </w:p>
        </w:tc>
      </w:tr>
    </w:tbl>
    <w:p w14:paraId="61EB517A" w14:textId="77777777" w:rsidR="00010F27" w:rsidRPr="00D8780A" w:rsidRDefault="00010F27" w:rsidP="00010F27">
      <w:pPr>
        <w:pStyle w:val="Textnormy"/>
        <w:spacing w:before="240"/>
      </w:pPr>
      <w:r w:rsidRPr="00D8780A">
        <w:t>Úplnou informaci o hlasování při schvalování této změny lze najít ve zprávě o hlasování ve výše uvedené tabulce.</w:t>
      </w:r>
    </w:p>
    <w:p w14:paraId="1BA1A544" w14:textId="77777777" w:rsidR="00010F27" w:rsidRPr="00AC0FA5" w:rsidRDefault="00010F27" w:rsidP="00D8780A">
      <w:pPr>
        <w:pStyle w:val="Textnormy"/>
      </w:pPr>
      <w:r w:rsidRPr="00AC0FA5">
        <w:t>Komise rozhodla, že obsah</w:t>
      </w:r>
      <w:r>
        <w:t xml:space="preserve"> této změny a</w:t>
      </w:r>
      <w:r w:rsidRPr="00AC0FA5">
        <w:t xml:space="preserve"> základní publikace zůstane nezměněn až do data příští prověrky (stability date) uvedeného na webových stránkách IEC </w:t>
      </w:r>
      <w:r>
        <w:t>(</w:t>
      </w:r>
      <w:hyperlink r:id="rId14" w:history="1">
        <w:r w:rsidRPr="008E4473">
          <w:rPr>
            <w:rStyle w:val="Hypertextovodkaz"/>
          </w:rPr>
          <w:t>http://webstore.iec.ch</w:t>
        </w:r>
      </w:hyperlink>
      <w:r>
        <w:t xml:space="preserve">) </w:t>
      </w:r>
      <w:r w:rsidRPr="00AC0FA5">
        <w:t>v údajích o této publikaci. K tomuto datu bude publikace buď</w:t>
      </w:r>
    </w:p>
    <w:p w14:paraId="234DE36B" w14:textId="77777777" w:rsidR="00B77989" w:rsidRPr="00AC0FA5" w:rsidRDefault="00B77989" w:rsidP="00B77989">
      <w:pPr>
        <w:pStyle w:val="Seznamvnorm"/>
      </w:pPr>
      <w:r w:rsidRPr="00AC0FA5">
        <w:t>znovu potvrzena;</w:t>
      </w:r>
    </w:p>
    <w:p w14:paraId="7E1A3ECF" w14:textId="77777777" w:rsidR="00B77989" w:rsidRPr="00AC0FA5" w:rsidRDefault="00B77989" w:rsidP="00B77989">
      <w:pPr>
        <w:pStyle w:val="Seznamvnorm"/>
      </w:pPr>
      <w:r w:rsidRPr="00AC0FA5">
        <w:t>zrušena;</w:t>
      </w:r>
    </w:p>
    <w:p w14:paraId="4FE87B37" w14:textId="77777777" w:rsidR="00B77989" w:rsidRPr="00AC0FA5" w:rsidRDefault="00B77989" w:rsidP="00B77989">
      <w:pPr>
        <w:pStyle w:val="Seznamvnorm"/>
      </w:pPr>
      <w:r w:rsidRPr="00AC0FA5">
        <w:t>nahrazena revidovaným vydáním, nebo</w:t>
      </w:r>
    </w:p>
    <w:p w14:paraId="24CBDC1A" w14:textId="77777777" w:rsidR="00B77989" w:rsidRPr="00AC0FA5" w:rsidRDefault="00B77989" w:rsidP="00B77989">
      <w:pPr>
        <w:pStyle w:val="Seznamvnorm"/>
      </w:pPr>
      <w:r w:rsidRPr="00AC0FA5">
        <w:t>změněna.</w:t>
      </w:r>
    </w:p>
    <w:p w14:paraId="3BC7933C" w14:textId="77777777" w:rsidR="00A83EAB" w:rsidRPr="00AC0FA5" w:rsidRDefault="00A83EAB">
      <w:pPr>
        <w:pStyle w:val="Nadpislnku"/>
      </w:pPr>
      <w:r w:rsidRPr="00AC0FA5">
        <w:t>Citované předpisy</w:t>
      </w:r>
    </w:p>
    <w:p w14:paraId="72682AB4" w14:textId="77777777" w:rsidR="00010F27" w:rsidRDefault="00010F27" w:rsidP="00010F27">
      <w:pPr>
        <w:pStyle w:val="Textnormy"/>
      </w:pPr>
      <w:r>
        <w:t>Směrnice Evropského parlamentu a Rady</w:t>
      </w:r>
      <w:r>
        <w:rPr>
          <w:b/>
          <w:bCs/>
        </w:rPr>
        <w:t xml:space="preserve"> </w:t>
      </w:r>
      <w:r>
        <w:t>2014/35/EU</w:t>
      </w:r>
      <w:r>
        <w:rPr>
          <w:b/>
          <w:bCs/>
        </w:rPr>
        <w:t xml:space="preserve"> </w:t>
      </w:r>
      <w:r>
        <w:t>ze dne 26. února 2014 o harmonizaci právních předpisů členských států týkajících se dodávání elektrických zařízení určených pro používání v určitých mezích napětí na trh. V České republice je tato směrnice zavedena nařízením vlády č. 118/2016 Sb., ze dne 30. března 2016, o posuzování shody elektrických zařízení určených pro používání v určitých mezích napětí při jejich dodávání na trh, v platném znění</w:t>
      </w:r>
      <w:r w:rsidRPr="00AC0FA5">
        <w:t>.</w:t>
      </w:r>
    </w:p>
    <w:p w14:paraId="213B274A" w14:textId="77777777" w:rsidR="00390EE2" w:rsidRPr="00390EE2" w:rsidRDefault="00390EE2" w:rsidP="00390EE2">
      <w:pPr>
        <w:pStyle w:val="Nadpislnku"/>
      </w:pPr>
      <w:r w:rsidRPr="00390EE2">
        <w:t>Upozornění na národní poznámku</w:t>
      </w:r>
    </w:p>
    <w:p w14:paraId="755F0AEF" w14:textId="77777777" w:rsidR="00390EE2" w:rsidRPr="00390EE2" w:rsidRDefault="00390EE2" w:rsidP="00010F27">
      <w:pPr>
        <w:pStyle w:val="Textnormy"/>
      </w:pPr>
      <w:r w:rsidRPr="00390EE2">
        <w:t>Do normy byla k článku 7.1 doplněna vysvětlující národní poznámka.</w:t>
      </w:r>
    </w:p>
    <w:p w14:paraId="5A3376D9" w14:textId="77777777" w:rsidR="00A83EAB" w:rsidRPr="00AC0FA5" w:rsidRDefault="00A83EAB">
      <w:pPr>
        <w:pStyle w:val="Nadpislnku"/>
      </w:pPr>
      <w:r w:rsidRPr="00AC0FA5">
        <w:t xml:space="preserve">Vypracování </w:t>
      </w:r>
      <w:r w:rsidR="00390EE2">
        <w:t xml:space="preserve">změny </w:t>
      </w:r>
      <w:r w:rsidRPr="00AC0FA5">
        <w:t>normy</w:t>
      </w:r>
    </w:p>
    <w:p w14:paraId="03633EC6" w14:textId="77777777" w:rsidR="00010F27" w:rsidRDefault="00010F27" w:rsidP="00010F27">
      <w:pPr>
        <w:pStyle w:val="Textnormy"/>
      </w:pPr>
      <w:r>
        <w:t>Zpracovatel: CTN Petr Voda, Hlinsko v Čechách, IČO 65706501, Ing. Petr Voda</w:t>
      </w:r>
    </w:p>
    <w:p w14:paraId="116BE08A" w14:textId="77777777" w:rsidR="00010F27" w:rsidRDefault="00010F27" w:rsidP="00010F27">
      <w:pPr>
        <w:pStyle w:val="Textnormy"/>
      </w:pPr>
      <w:r>
        <w:t>Technická normalizační komise: TNK 33 Elektrické spotřebiče a elektrické ruční nářadí</w:t>
      </w:r>
    </w:p>
    <w:p w14:paraId="7291C0DB" w14:textId="77777777" w:rsidR="00010F27" w:rsidRDefault="00010F27" w:rsidP="00010F27">
      <w:pPr>
        <w:pStyle w:val="Textnormy"/>
      </w:pPr>
      <w:r w:rsidRPr="00AC0FA5">
        <w:t xml:space="preserve">Pracovník </w:t>
      </w:r>
      <w:r>
        <w:t>České agentury pro standardizaci</w:t>
      </w:r>
      <w:r w:rsidRPr="00AC0FA5">
        <w:t xml:space="preserve">: </w:t>
      </w:r>
      <w:r>
        <w:t>Ing. Eva Kralevičová</w:t>
      </w:r>
    </w:p>
    <w:p w14:paraId="5CA090A3" w14:textId="77777777" w:rsidR="0075254C" w:rsidRPr="0075254C" w:rsidRDefault="00456C24" w:rsidP="00035C7A">
      <w:pPr>
        <w:pStyle w:val="Textnormy"/>
      </w:pPr>
      <w:r w:rsidRPr="0075254C">
        <w:t xml:space="preserve">Česká agentura pro standardizaci je státní </w:t>
      </w:r>
      <w:r w:rsidR="004F13A5">
        <w:t>příspěvková organizace zřízená</w:t>
      </w:r>
      <w:r w:rsidRPr="0075254C"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14:paraId="16D99974" w14:textId="77777777" w:rsidR="00A83EAB" w:rsidRPr="00AC0FA5" w:rsidRDefault="00A83EAB" w:rsidP="00D8780A">
      <w:pPr>
        <w:pStyle w:val="EvropNorma"/>
        <w:tabs>
          <w:tab w:val="clear" w:pos="8505"/>
          <w:tab w:val="left" w:pos="7230"/>
        </w:tabs>
        <w:rPr>
          <w:b w:val="0"/>
          <w:kern w:val="0"/>
          <w:sz w:val="20"/>
        </w:rPr>
      </w:pPr>
      <w:r w:rsidRPr="00AC0FA5">
        <w:rPr>
          <w:kern w:val="0"/>
        </w:rPr>
        <w:lastRenderedPageBreak/>
        <w:t>EVROPSKÁ NORMA</w:t>
      </w:r>
      <w:r w:rsidRPr="00AC0FA5">
        <w:rPr>
          <w:kern w:val="0"/>
        </w:rPr>
        <w:tab/>
        <w:t>EN </w:t>
      </w:r>
      <w:r w:rsidR="00417357">
        <w:rPr>
          <w:kern w:val="0"/>
        </w:rPr>
        <w:t>60335-2-24:2010/A2</w:t>
      </w:r>
      <w:r w:rsidRPr="00AC0FA5">
        <w:rPr>
          <w:kern w:val="0"/>
        </w:rPr>
        <w:br/>
        <w:t>EUROPEAN STANDARD</w:t>
      </w:r>
      <w:r w:rsidRPr="00AC0FA5">
        <w:rPr>
          <w:b w:val="0"/>
          <w:kern w:val="0"/>
          <w:sz w:val="20"/>
        </w:rPr>
        <w:br/>
      </w:r>
      <w:r w:rsidRPr="00AC0FA5">
        <w:rPr>
          <w:kern w:val="0"/>
        </w:rPr>
        <w:t>NORME EUROPÉENNE</w:t>
      </w:r>
      <w:r w:rsidRPr="00AC0FA5">
        <w:rPr>
          <w:kern w:val="0"/>
        </w:rPr>
        <w:br/>
        <w:t>EUROPÄISCHE NORM</w:t>
      </w:r>
      <w:r w:rsidRPr="00AC0FA5">
        <w:rPr>
          <w:kern w:val="0"/>
        </w:rPr>
        <w:tab/>
      </w:r>
      <w:r w:rsidR="00417357">
        <w:rPr>
          <w:b w:val="0"/>
          <w:kern w:val="0"/>
          <w:sz w:val="20"/>
        </w:rPr>
        <w:t>Leden</w:t>
      </w:r>
      <w:r w:rsidRPr="00AC0FA5">
        <w:rPr>
          <w:b w:val="0"/>
          <w:kern w:val="0"/>
          <w:sz w:val="20"/>
        </w:rPr>
        <w:t xml:space="preserve"> </w:t>
      </w:r>
      <w:r w:rsidR="00417357">
        <w:rPr>
          <w:b w:val="0"/>
          <w:kern w:val="0"/>
          <w:sz w:val="20"/>
        </w:rPr>
        <w:t>2019</w:t>
      </w:r>
    </w:p>
    <w:p w14:paraId="34E0C19F" w14:textId="77777777" w:rsidR="00A83EAB" w:rsidRPr="00AC0FA5" w:rsidRDefault="00EA4ADA">
      <w:pPr>
        <w:pStyle w:val="ICS"/>
        <w:rPr>
          <w:kern w:val="0"/>
        </w:rPr>
      </w:pPr>
      <w:r>
        <w:rPr>
          <w:kern w:val="0"/>
        </w:rPr>
        <w:t xml:space="preserve">ICS </w:t>
      </w:r>
      <w:r w:rsidR="00417357">
        <w:rPr>
          <w:kern w:val="0"/>
        </w:rPr>
        <w:t>97.040.30</w:t>
      </w:r>
      <w:r w:rsidR="00A83EAB" w:rsidRPr="00AC0FA5">
        <w:rPr>
          <w:kern w:val="0"/>
        </w:rPr>
        <w:tab/>
      </w:r>
    </w:p>
    <w:p w14:paraId="2D70B95E" w14:textId="77777777" w:rsidR="00417357" w:rsidRDefault="00417357" w:rsidP="00417357">
      <w:pPr>
        <w:pStyle w:val="NzNorCZ"/>
      </w:pPr>
      <w:r>
        <w:t xml:space="preserve">Elektrické spotřebiče pro domácnost a podobné účely – Bezpečnost – </w:t>
      </w:r>
      <w:r>
        <w:br/>
        <w:t>Část 2-24: Zvláštní požadavky na chladicí spotřebiče, spotřebiče na výrobu zmrzliny a výrobníky ledu</w:t>
      </w:r>
      <w:r>
        <w:br/>
        <w:t>(IEC 60335-2-24:2010/A2:2017)</w:t>
      </w:r>
    </w:p>
    <w:p w14:paraId="5884255C" w14:textId="77777777" w:rsidR="00417357" w:rsidRDefault="00417357" w:rsidP="00417357">
      <w:pPr>
        <w:pStyle w:val="NzNorUS"/>
      </w:pPr>
      <w:r>
        <w:rPr>
          <w:lang w:val="en-US"/>
        </w:rPr>
        <w:t xml:space="preserve">Household and similar electrical appliances – Safety – </w:t>
      </w:r>
      <w:r>
        <w:rPr>
          <w:lang w:val="en-US"/>
        </w:rPr>
        <w:br/>
      </w:r>
      <w:r>
        <w:t xml:space="preserve">Part 2-24: Particular requirements for </w:t>
      </w:r>
      <w:r>
        <w:rPr>
          <w:kern w:val="1"/>
        </w:rPr>
        <w:t>refrigerating appliances, ice-cream appliances and ice makers</w:t>
      </w:r>
      <w:r>
        <w:rPr>
          <w:lang w:val="en-AU"/>
        </w:rPr>
        <w:t xml:space="preserve"> </w:t>
      </w:r>
      <w:r>
        <w:br/>
        <w:t>(IEC 60335-2-24:2010/A2:2017)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417357" w14:paraId="36AC2D8E" w14:textId="77777777" w:rsidTr="00D8780A">
        <w:trPr>
          <w:jc w:val="center"/>
        </w:trPr>
        <w:tc>
          <w:tcPr>
            <w:tcW w:w="4961" w:type="dxa"/>
          </w:tcPr>
          <w:p w14:paraId="609A2EEF" w14:textId="77777777" w:rsidR="00417357" w:rsidRDefault="00417357" w:rsidP="008D45AC">
            <w:pPr>
              <w:pStyle w:val="NzNorFraGer"/>
              <w:tabs>
                <w:tab w:val="clear" w:pos="4536"/>
              </w:tabs>
              <w:ind w:right="141"/>
            </w:pPr>
            <w:r>
              <w:rPr>
                <w:lang w:val="fr-FR"/>
              </w:rPr>
              <w:t xml:space="preserve">Appareils électrodomestiques et analogues – Sécurité – </w:t>
            </w:r>
            <w:r>
              <w:rPr>
                <w:lang w:val="fr-FR"/>
              </w:rPr>
              <w:br/>
              <w:t xml:space="preserve">Partie 2-24: Règles particulières pour </w:t>
            </w:r>
            <w:r>
              <w:rPr>
                <w:kern w:val="1"/>
                <w:lang w:val="fr-FR"/>
              </w:rPr>
              <w:t>les appareils de réfrigération, les sorbeti</w:t>
            </w:r>
            <w:r>
              <w:rPr>
                <w:lang w:val="fr-FR"/>
              </w:rPr>
              <w:t>ères et les fabriques de glace</w:t>
            </w:r>
            <w:r>
              <w:br/>
            </w:r>
            <w:r w:rsidRPr="00D91CAC">
              <w:rPr>
                <w:lang w:val="fr-FR"/>
              </w:rPr>
              <w:t>(</w:t>
            </w:r>
            <w:r>
              <w:t>IEC 60335-2-24:2010/A2:2017</w:t>
            </w:r>
            <w:r w:rsidRPr="00D91CAC">
              <w:rPr>
                <w:lang w:val="fr-FR"/>
              </w:rPr>
              <w:t>)</w:t>
            </w:r>
          </w:p>
        </w:tc>
        <w:tc>
          <w:tcPr>
            <w:tcW w:w="4961" w:type="dxa"/>
          </w:tcPr>
          <w:p w14:paraId="160771F9" w14:textId="77777777" w:rsidR="00417357" w:rsidRPr="00D91CAC" w:rsidRDefault="00417357" w:rsidP="008D45AC">
            <w:pPr>
              <w:pStyle w:val="NzNorFraGer"/>
              <w:tabs>
                <w:tab w:val="clear" w:pos="4536"/>
              </w:tabs>
              <w:rPr>
                <w:lang w:val="de-DE"/>
              </w:rPr>
            </w:pPr>
            <w:r w:rsidRPr="00D91CAC">
              <w:rPr>
                <w:lang w:val="de-DE"/>
              </w:rPr>
              <w:t xml:space="preserve">Sicherheit elektrischer Geräte für den Hausgebrauch und ähnliche Zwecke – </w:t>
            </w:r>
            <w:r w:rsidRPr="00D91CAC">
              <w:rPr>
                <w:lang w:val="de-DE"/>
              </w:rPr>
              <w:br/>
              <w:t xml:space="preserve">Teil 2-24: Besondere Anforderungen </w:t>
            </w:r>
            <w:r w:rsidRPr="00D91CAC">
              <w:rPr>
                <w:lang w:val="de-DE"/>
              </w:rPr>
              <w:br/>
              <w:t xml:space="preserve">für </w:t>
            </w:r>
            <w:r w:rsidRPr="00D91CAC">
              <w:rPr>
                <w:kern w:val="1"/>
                <w:lang w:val="de-DE"/>
              </w:rPr>
              <w:t>Kühl-/Gefriergeräte und Speiseeis- und Eisbereiter</w:t>
            </w:r>
            <w:r w:rsidRPr="00D91CAC">
              <w:rPr>
                <w:lang w:val="de-DE"/>
              </w:rPr>
              <w:br/>
              <w:t>(</w:t>
            </w:r>
            <w:r>
              <w:t>IEC 60335-2-24:2010/A2:2017</w:t>
            </w:r>
            <w:r w:rsidRPr="00D91CAC">
              <w:rPr>
                <w:lang w:val="de-DE"/>
              </w:rPr>
              <w:t>)</w:t>
            </w:r>
          </w:p>
        </w:tc>
      </w:tr>
    </w:tbl>
    <w:p w14:paraId="065C8119" w14:textId="1D08B5FF" w:rsidR="00417357" w:rsidRPr="00AC0FA5" w:rsidRDefault="00417357" w:rsidP="00417357">
      <w:pPr>
        <w:pStyle w:val="Textnormy"/>
      </w:pPr>
      <w:r>
        <w:rPr>
          <w:kern w:val="28"/>
        </w:rPr>
        <w:t xml:space="preserve">Tato změna A2 mění evropskou normu EN 60335-2-24:2010; </w:t>
      </w:r>
      <w:r w:rsidRPr="00AC0FA5">
        <w:t xml:space="preserve">byla schválena CENELEC dne </w:t>
      </w:r>
      <w:r>
        <w:t>2017</w:t>
      </w:r>
      <w:r w:rsidRPr="00AC0FA5">
        <w:t>-</w:t>
      </w:r>
      <w:r>
        <w:t>04</w:t>
      </w:r>
      <w:r w:rsidRPr="00AC0FA5">
        <w:t>-</w:t>
      </w:r>
      <w:r>
        <w:t>10</w:t>
      </w:r>
      <w:r w:rsidRPr="00AC0FA5">
        <w:t xml:space="preserve">. </w:t>
      </w:r>
      <w:r w:rsidR="00035C7A">
        <w:br/>
      </w:r>
      <w:r w:rsidRPr="00AC0FA5">
        <w:t xml:space="preserve">Členové CENELEC jsou povinni splnit vnitřní předpisy CEN/CENELEC, v nichž jsou stanoveny podmínky, za kterých se této </w:t>
      </w:r>
      <w:r>
        <w:t>změně</w:t>
      </w:r>
      <w:r w:rsidRPr="00AC0FA5">
        <w:t xml:space="preserve"> bez jakýchkoliv modifikací uděluje status národní normy</w:t>
      </w:r>
      <w:r>
        <w:t>.</w:t>
      </w:r>
    </w:p>
    <w:p w14:paraId="25D14DC3" w14:textId="723AB59A" w:rsidR="00E12872" w:rsidRPr="00AC0FA5" w:rsidRDefault="00E12872" w:rsidP="00E12872">
      <w:pPr>
        <w:pStyle w:val="Textnormy"/>
      </w:pPr>
      <w:r w:rsidRPr="00AC0FA5">
        <w:t>Aktualizované seznamy</w:t>
      </w:r>
      <w:r w:rsidR="000E3DE6" w:rsidRPr="00AC0FA5">
        <w:t xml:space="preserve"> a </w:t>
      </w:r>
      <w:r w:rsidRPr="00AC0FA5">
        <w:t>bibliografické citace týkající se těchto národních norem lze obdržet na vyžádání</w:t>
      </w:r>
      <w:r w:rsidR="000E3DE6" w:rsidRPr="00AC0FA5">
        <w:t xml:space="preserve"> </w:t>
      </w:r>
      <w:r w:rsidR="00035C7A">
        <w:br/>
      </w:r>
      <w:r w:rsidR="000E3DE6" w:rsidRPr="00AC0FA5">
        <w:t>v </w:t>
      </w:r>
      <w:r w:rsidRPr="00AC0FA5">
        <w:t>Řídicím centru CEN-CENELEC nebo</w:t>
      </w:r>
      <w:r w:rsidR="000E3DE6" w:rsidRPr="00AC0FA5">
        <w:t xml:space="preserve"> u </w:t>
      </w:r>
      <w:r w:rsidRPr="00AC0FA5">
        <w:t>kteréhokoliv člena CENELEC.</w:t>
      </w:r>
    </w:p>
    <w:p w14:paraId="69A0F5B9" w14:textId="77777777" w:rsidR="00E12872" w:rsidRPr="00AC0FA5" w:rsidRDefault="00E12872" w:rsidP="00E12872">
      <w:pPr>
        <w:pStyle w:val="Textnormy"/>
      </w:pPr>
      <w:r w:rsidRPr="00AC0FA5">
        <w:t xml:space="preserve">Tato </w:t>
      </w:r>
      <w:r w:rsidR="00417357">
        <w:t>změna</w:t>
      </w:r>
      <w:r w:rsidRPr="00AC0FA5">
        <w:t xml:space="preserve"> existuje ve třech oficiálních verzích (anglické, francouzské, německé). Verze</w:t>
      </w:r>
      <w:r w:rsidR="000E3DE6" w:rsidRPr="00AC0FA5">
        <w:t xml:space="preserve"> v </w:t>
      </w:r>
      <w:r w:rsidRPr="00AC0FA5">
        <w:t>každém jiném jazyce přeložená členem CENELEC do jeho vlastního jazyka, za kterou zodpovídá</w:t>
      </w:r>
      <w:r w:rsidR="000E3DE6" w:rsidRPr="00AC0FA5">
        <w:t xml:space="preserve"> a </w:t>
      </w:r>
      <w:r w:rsidRPr="00AC0FA5">
        <w:t>kterou notifikuje Řídicímu centru CEN-CENELEC, má stejný status jako oficiální verze.</w:t>
      </w:r>
    </w:p>
    <w:p w14:paraId="5EFFA9C6" w14:textId="5155B71A" w:rsidR="00A83EAB" w:rsidRPr="00035C7A" w:rsidRDefault="00E12872" w:rsidP="00E12872">
      <w:pPr>
        <w:pStyle w:val="Textnormy"/>
      </w:pPr>
      <w:r w:rsidRPr="00035C7A">
        <w:t xml:space="preserve">Členy CENELEC jsou národní elektrotechnické komitéty Belgie, Bulharska, České republiky, Dánska, Estonska, Finska, Francie, Chorvatska, Irska, Islandu, Itálie, Kypru, Litvy, Lotyšska, Lucemburska, Maďarska, Malty, </w:t>
      </w:r>
      <w:r w:rsidR="00035C7A" w:rsidRPr="00035C7A">
        <w:br/>
      </w:r>
      <w:r w:rsidRPr="00035C7A">
        <w:t xml:space="preserve">Německa, Nizozemska, Norska, Polska, Portugalska, Rakouska, </w:t>
      </w:r>
      <w:r w:rsidR="00804375" w:rsidRPr="00035C7A">
        <w:t xml:space="preserve">Republiky Severní Makedonie, </w:t>
      </w:r>
      <w:r w:rsidRPr="00035C7A">
        <w:t xml:space="preserve">Rumunska, Řecka, Slovenska, Slovinska, Spojeného království, </w:t>
      </w:r>
      <w:r w:rsidR="00106E00" w:rsidRPr="00035C7A">
        <w:t xml:space="preserve">Srbska, </w:t>
      </w:r>
      <w:r w:rsidRPr="00035C7A">
        <w:t>Španělska, Švédska,</w:t>
      </w:r>
      <w:r w:rsidR="00417357" w:rsidRPr="00035C7A">
        <w:t xml:space="preserve"> </w:t>
      </w:r>
      <w:r w:rsidRPr="00035C7A">
        <w:t>Švýcarska</w:t>
      </w:r>
      <w:r w:rsidR="000E3DE6" w:rsidRPr="00035C7A">
        <w:t xml:space="preserve"> a </w:t>
      </w:r>
      <w:r w:rsidRPr="00035C7A">
        <w:t>Turecka.</w:t>
      </w:r>
    </w:p>
    <w:p w14:paraId="1120FC88" w14:textId="77777777" w:rsidR="00A83EAB" w:rsidRPr="00AC0FA5" w:rsidRDefault="00DF7953">
      <w:pPr>
        <w:pStyle w:val="Textnormy"/>
        <w:framePr w:hSpace="142" w:wrap="around" w:hAnchor="page" w:x="1022" w:yAlign="bottom"/>
        <w:spacing w:before="60" w:after="0"/>
        <w:jc w:val="center"/>
        <w:rPr>
          <w:sz w:val="24"/>
        </w:rPr>
      </w:pPr>
      <w:r>
        <w:rPr>
          <w:sz w:val="24"/>
        </w:rPr>
        <w:t xml:space="preserve"> </w:t>
      </w:r>
      <w:r w:rsidR="002F6D6F">
        <w:rPr>
          <w:b/>
          <w:noProof/>
          <w:sz w:val="24"/>
        </w:rPr>
        <w:drawing>
          <wp:inline distT="0" distB="0" distL="0" distR="0" wp14:anchorId="69CEF16E" wp14:editId="43110A36">
            <wp:extent cx="1228725" cy="592455"/>
            <wp:effectExtent l="0" t="0" r="0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r="2763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C1C" w:rsidRPr="00AC0FA5">
        <w:rPr>
          <w:sz w:val="24"/>
        </w:rPr>
        <w:t xml:space="preserve"> </w:t>
      </w:r>
    </w:p>
    <w:p w14:paraId="39849A97" w14:textId="77777777" w:rsidR="00A83EAB" w:rsidRPr="00AC0FA5" w:rsidRDefault="00A83EAB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 w:rsidRPr="00AC0FA5">
        <w:rPr>
          <w:b/>
        </w:rPr>
        <w:t>Evropský výbor pro normalizaci</w:t>
      </w:r>
      <w:r w:rsidR="000E3DE6" w:rsidRPr="00AC0FA5">
        <w:rPr>
          <w:b/>
        </w:rPr>
        <w:t xml:space="preserve"> v </w:t>
      </w:r>
      <w:r w:rsidRPr="00AC0FA5">
        <w:rPr>
          <w:b/>
        </w:rPr>
        <w:t>elektrotechnice</w:t>
      </w:r>
    </w:p>
    <w:p w14:paraId="2F2B5AA3" w14:textId="77777777" w:rsidR="00A83EAB" w:rsidRPr="00AC0FA5" w:rsidRDefault="00A83EAB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European Committee for Electrotechnical Standardization</w:t>
      </w:r>
    </w:p>
    <w:p w14:paraId="2D40F981" w14:textId="77777777" w:rsidR="00A83EAB" w:rsidRPr="00AC0FA5" w:rsidRDefault="00A83EAB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Comité Européen de Normalisation Electrotechnique</w:t>
      </w:r>
    </w:p>
    <w:p w14:paraId="30B09EFC" w14:textId="77777777" w:rsidR="00A83EAB" w:rsidRPr="00AC0FA5" w:rsidRDefault="00A83EAB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Europäisches Komitee für Elektrotechnische Normung</w:t>
      </w:r>
    </w:p>
    <w:p w14:paraId="02CFEA37" w14:textId="77777777" w:rsidR="00A83EAB" w:rsidRPr="00C36DB1" w:rsidRDefault="00FF5F8D">
      <w:pPr>
        <w:pStyle w:val="Textnormy"/>
        <w:framePr w:hSpace="142" w:wrap="around" w:hAnchor="page" w:x="1022" w:yAlign="bottom"/>
        <w:spacing w:before="120" w:after="240"/>
        <w:jc w:val="center"/>
        <w:rPr>
          <w:rFonts w:cs="Arial"/>
          <w:b/>
        </w:rPr>
      </w:pPr>
      <w:r w:rsidRPr="00AC0FA5">
        <w:rPr>
          <w:b/>
        </w:rPr>
        <w:t>Řídicí centrum</w:t>
      </w:r>
      <w:r w:rsidR="00130190" w:rsidRPr="00AC0FA5">
        <w:rPr>
          <w:b/>
        </w:rPr>
        <w:t xml:space="preserve"> CEN-CENELEC</w:t>
      </w:r>
      <w:r w:rsidR="008F4369" w:rsidRPr="00AC0FA5">
        <w:rPr>
          <w:b/>
        </w:rPr>
        <w:t>:</w:t>
      </w:r>
      <w:r w:rsidR="008F4369" w:rsidRPr="00C36DB1">
        <w:rPr>
          <w:rFonts w:cs="Arial"/>
          <w:b/>
        </w:rPr>
        <w:t xml:space="preserve"> </w:t>
      </w:r>
      <w:r w:rsidR="00D51195" w:rsidRPr="00C36DB1">
        <w:rPr>
          <w:rFonts w:cs="Arial"/>
          <w:b/>
          <w:color w:val="000000"/>
        </w:rPr>
        <w:t>Rue de la Science 23, B</w:t>
      </w:r>
      <w:r w:rsidR="009F715B" w:rsidRPr="00C36DB1">
        <w:rPr>
          <w:rFonts w:cs="Arial"/>
          <w:b/>
          <w:color w:val="000000"/>
        </w:rPr>
        <w:t>-</w:t>
      </w:r>
      <w:r w:rsidR="00D51195" w:rsidRPr="00C36DB1">
        <w:rPr>
          <w:rFonts w:cs="Arial"/>
          <w:b/>
          <w:color w:val="000000"/>
        </w:rPr>
        <w:t>1040 Brusel</w:t>
      </w:r>
    </w:p>
    <w:p w14:paraId="7D58EA16" w14:textId="77777777" w:rsidR="00A83EAB" w:rsidRPr="00AC0FA5" w:rsidRDefault="00A83EAB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0"/>
        <w:ind w:left="1843" w:hanging="1843"/>
        <w:jc w:val="left"/>
      </w:pPr>
      <w:r w:rsidRPr="00AC0FA5">
        <w:sym w:font="Times New Roman" w:char="00A9"/>
      </w:r>
      <w:r w:rsidRPr="00AC0FA5">
        <w:t> </w:t>
      </w:r>
      <w:r w:rsidR="00417357">
        <w:t>2019</w:t>
      </w:r>
      <w:r w:rsidRPr="00AC0FA5">
        <w:t xml:space="preserve"> CENELEC</w:t>
      </w:r>
      <w:r w:rsidRPr="00AC0FA5">
        <w:tab/>
        <w:t>Veškerá práva pro využití</w:t>
      </w:r>
      <w:r w:rsidR="000E3DE6" w:rsidRPr="00AC0FA5">
        <w:t xml:space="preserve"> v </w:t>
      </w:r>
      <w:r w:rsidRPr="00AC0FA5">
        <w:t>jakékoli</w:t>
      </w:r>
      <w:r w:rsidR="00D8189E">
        <w:t>v</w:t>
      </w:r>
      <w:r w:rsidRPr="00AC0FA5">
        <w:t xml:space="preserve"> formě</w:t>
      </w:r>
      <w:r w:rsidR="000E3DE6" w:rsidRPr="00AC0FA5">
        <w:t xml:space="preserve"> a </w:t>
      </w:r>
      <w:r w:rsidRPr="00AC0FA5">
        <w:t>jakýmikoli</w:t>
      </w:r>
      <w:r w:rsidR="00D8189E">
        <w:t>v</w:t>
      </w:r>
      <w:r w:rsidRPr="00AC0FA5">
        <w:t xml:space="preserve"> prostředky </w:t>
      </w:r>
      <w:r w:rsidRPr="00AC0FA5">
        <w:br/>
        <w:t>jsou celosvětově vyhrazena členům CENELEC.</w:t>
      </w:r>
      <w:r w:rsidRPr="00AC0FA5">
        <w:br/>
      </w:r>
      <w:r w:rsidRPr="00AC0FA5">
        <w:tab/>
        <w:t>Ref. č. EN</w:t>
      </w:r>
      <w:r w:rsidR="00417357">
        <w:t> 60335-2-24</w:t>
      </w:r>
      <w:r w:rsidRPr="00AC0FA5">
        <w:t>:</w:t>
      </w:r>
      <w:r w:rsidR="00417357">
        <w:t>2010/A2:2019</w:t>
      </w:r>
      <w:r w:rsidRPr="00AC0FA5">
        <w:t xml:space="preserve"> E</w:t>
      </w:r>
    </w:p>
    <w:p w14:paraId="57195158" w14:textId="77777777" w:rsidR="00A83EAB" w:rsidRPr="00AC0FA5" w:rsidRDefault="00A83EAB">
      <w:pPr>
        <w:pStyle w:val="Textnormy"/>
      </w:pPr>
    </w:p>
    <w:p w14:paraId="01527769" w14:textId="77777777" w:rsidR="00A83EAB" w:rsidRPr="00AC0FA5" w:rsidRDefault="00B77C05" w:rsidP="008566A5">
      <w:pPr>
        <w:pStyle w:val="Nadpis1"/>
        <w:pageBreakBefore/>
        <w:spacing w:before="0"/>
      </w:pPr>
      <w:bookmarkStart w:id="1" w:name="_Toc442856023"/>
      <w:bookmarkStart w:id="2" w:name="_Toc442856556"/>
      <w:bookmarkStart w:id="3" w:name="_Toc442858515"/>
      <w:bookmarkStart w:id="4" w:name="_Toc442858978"/>
      <w:bookmarkStart w:id="5" w:name="_Toc502299205"/>
      <w:bookmarkStart w:id="6" w:name="_Toc502299241"/>
      <w:r>
        <w:lastRenderedPageBreak/>
        <w:t>Evropská p</w:t>
      </w:r>
      <w:r w:rsidR="00A83EAB" w:rsidRPr="00AC0FA5">
        <w:t>ředmluva</w:t>
      </w:r>
      <w:bookmarkEnd w:id="1"/>
      <w:bookmarkEnd w:id="2"/>
      <w:bookmarkEnd w:id="3"/>
      <w:bookmarkEnd w:id="4"/>
      <w:bookmarkEnd w:id="5"/>
      <w:bookmarkEnd w:id="6"/>
    </w:p>
    <w:p w14:paraId="53BBB3D6" w14:textId="77777777" w:rsidR="0064220E" w:rsidRPr="00AC0FA5" w:rsidRDefault="003738D3" w:rsidP="0064220E">
      <w:pPr>
        <w:pStyle w:val="Textnormy"/>
      </w:pPr>
      <w:r w:rsidRPr="00AC0FA5">
        <w:t>Text dokumentu</w:t>
      </w:r>
      <w:r w:rsidR="007B6754">
        <w:t xml:space="preserve"> 61C/694/FDIS</w:t>
      </w:r>
      <w:r w:rsidRPr="00AC0FA5">
        <w:t>,</w:t>
      </w:r>
      <w:r w:rsidR="00B77C05">
        <w:t xml:space="preserve"> budoucího </w:t>
      </w:r>
      <w:r w:rsidR="007B6754">
        <w:t>sedmého</w:t>
      </w:r>
      <w:r w:rsidR="00B77C05">
        <w:t xml:space="preserve"> vydání IEC</w:t>
      </w:r>
      <w:r w:rsidR="007B6754">
        <w:t> 60335-2-24:2010/A2</w:t>
      </w:r>
      <w:r w:rsidR="00B77C05">
        <w:t>,</w:t>
      </w:r>
      <w:r w:rsidRPr="00AC0FA5">
        <w:t xml:space="preserve"> který vypracovala </w:t>
      </w:r>
      <w:r w:rsidR="007B6754">
        <w:t xml:space="preserve">IEC/SC 61C </w:t>
      </w:r>
      <w:r w:rsidR="007B6754">
        <w:rPr>
          <w:i/>
        </w:rPr>
        <w:t>Bezpečnost chladicích spotřebičů pro domácnost a komerční použití</w:t>
      </w:r>
      <w:r w:rsidR="007B6754">
        <w:t xml:space="preserve"> technické komise IEC/TC 61 </w:t>
      </w:r>
      <w:r w:rsidR="007B6754">
        <w:rPr>
          <w:i/>
        </w:rPr>
        <w:t>Bezpečnost elektrických spotřebičů pro domácnost a podobné účely</w:t>
      </w:r>
      <w:r w:rsidRPr="00AC0FA5">
        <w:t>, byl předložen k paralelnímu hlasování IEC-CENELEC a byl schválen CENELEC jako EN </w:t>
      </w:r>
      <w:r w:rsidR="007B6754">
        <w:t>60335-2-24</w:t>
      </w:r>
      <w:r w:rsidR="000D5401">
        <w:t>:</w:t>
      </w:r>
      <w:r w:rsidR="007B6754">
        <w:t>2010/A2:2019</w:t>
      </w:r>
      <w:r w:rsidR="000D5401">
        <w:t>.</w:t>
      </w:r>
    </w:p>
    <w:p w14:paraId="62EEF787" w14:textId="77777777" w:rsidR="0064220E" w:rsidRPr="00AC0FA5" w:rsidRDefault="0064220E" w:rsidP="009F715B">
      <w:pPr>
        <w:pStyle w:val="Textnormy"/>
        <w:spacing w:before="240"/>
      </w:pPr>
      <w:r w:rsidRPr="00AC0FA5">
        <w:t>Jsou stanovena tato data: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861"/>
        <w:gridCol w:w="1597"/>
      </w:tblGrid>
      <w:tr w:rsidR="0064220E" w:rsidRPr="00AC0FA5" w14:paraId="4C35C2B8" w14:textId="77777777" w:rsidTr="005866CA">
        <w:tc>
          <w:tcPr>
            <w:tcW w:w="7465" w:type="dxa"/>
          </w:tcPr>
          <w:p w14:paraId="049AD2BC" w14:textId="77777777" w:rsidR="0064220E" w:rsidRPr="00AC0FA5" w:rsidRDefault="0064220E" w:rsidP="0014577A">
            <w:pPr>
              <w:pStyle w:val="Seznamvnorm"/>
              <w:jc w:val="left"/>
            </w:pPr>
            <w:r w:rsidRPr="00AC0FA5">
              <w:t>nejzazší datum zavedení dokumentu na národní úrovni</w:t>
            </w:r>
            <w:r w:rsidRPr="00AC0FA5">
              <w:br/>
              <w:t>vydáním identické národní normy nebo vydáním</w:t>
            </w:r>
            <w:r w:rsidRPr="00AC0FA5">
              <w:br/>
              <w:t>oznámení</w:t>
            </w:r>
            <w:r w:rsidR="000E3DE6" w:rsidRPr="00AC0FA5">
              <w:t xml:space="preserve"> o </w:t>
            </w:r>
            <w:r w:rsidRPr="00AC0FA5">
              <w:t>schválení</w:t>
            </w:r>
            <w:r w:rsidR="000E3DE6" w:rsidRPr="00AC0FA5">
              <w:t xml:space="preserve"> k </w:t>
            </w:r>
            <w:r w:rsidRPr="00AC0FA5">
              <w:t>přímému používání</w:t>
            </w:r>
            <w:r w:rsidRPr="00AC0FA5">
              <w:br/>
              <w:t>jako normy národní</w:t>
            </w:r>
          </w:p>
        </w:tc>
        <w:tc>
          <w:tcPr>
            <w:tcW w:w="861" w:type="dxa"/>
            <w:vAlign w:val="bottom"/>
          </w:tcPr>
          <w:p w14:paraId="42931DDC" w14:textId="77777777" w:rsidR="0064220E" w:rsidRPr="00AC0FA5" w:rsidRDefault="0064220E" w:rsidP="0014577A">
            <w:pPr>
              <w:pStyle w:val="Textnormy"/>
            </w:pPr>
            <w:r w:rsidRPr="00AC0FA5">
              <w:t>(dop)</w:t>
            </w:r>
          </w:p>
        </w:tc>
        <w:tc>
          <w:tcPr>
            <w:tcW w:w="1597" w:type="dxa"/>
            <w:vAlign w:val="bottom"/>
          </w:tcPr>
          <w:p w14:paraId="20ED572B" w14:textId="77777777" w:rsidR="0064220E" w:rsidRPr="00AC0FA5" w:rsidRDefault="007B6754" w:rsidP="007B6754">
            <w:pPr>
              <w:pStyle w:val="Textnormy"/>
            </w:pPr>
            <w:r>
              <w:t>2019</w:t>
            </w:r>
            <w:r w:rsidR="0064220E" w:rsidRPr="00AC0FA5">
              <w:t>-</w:t>
            </w:r>
            <w:r>
              <w:t>07</w:t>
            </w:r>
            <w:r w:rsidR="0064220E" w:rsidRPr="00AC0FA5">
              <w:t>-</w:t>
            </w:r>
            <w:r>
              <w:t>11</w:t>
            </w:r>
          </w:p>
        </w:tc>
      </w:tr>
      <w:tr w:rsidR="0064220E" w:rsidRPr="00AC0FA5" w14:paraId="481DA406" w14:textId="77777777" w:rsidTr="005866CA">
        <w:tc>
          <w:tcPr>
            <w:tcW w:w="7465" w:type="dxa"/>
          </w:tcPr>
          <w:p w14:paraId="457BEC3A" w14:textId="77777777" w:rsidR="0064220E" w:rsidRPr="00AC0FA5" w:rsidRDefault="0064220E" w:rsidP="0014577A">
            <w:pPr>
              <w:pStyle w:val="Seznamvnorm"/>
              <w:jc w:val="left"/>
            </w:pPr>
            <w:r w:rsidRPr="00AC0FA5">
              <w:t>nejzazší datum zrušení národních norem,</w:t>
            </w:r>
            <w:r w:rsidRPr="00AC0FA5">
              <w:br/>
              <w:t>které jsou</w:t>
            </w:r>
            <w:r w:rsidR="000E3DE6" w:rsidRPr="00AC0FA5">
              <w:t xml:space="preserve"> s </w:t>
            </w:r>
            <w:r w:rsidRPr="00AC0FA5">
              <w:t>dokumentem</w:t>
            </w:r>
            <w:r w:rsidR="000E3DE6" w:rsidRPr="00AC0FA5">
              <w:t xml:space="preserve"> v </w:t>
            </w:r>
            <w:r w:rsidRPr="00AC0FA5">
              <w:t>rozporu</w:t>
            </w:r>
          </w:p>
        </w:tc>
        <w:tc>
          <w:tcPr>
            <w:tcW w:w="861" w:type="dxa"/>
            <w:vAlign w:val="bottom"/>
          </w:tcPr>
          <w:p w14:paraId="3E224FAD" w14:textId="77777777" w:rsidR="0064220E" w:rsidRPr="00AC0FA5" w:rsidRDefault="0064220E" w:rsidP="0014577A">
            <w:pPr>
              <w:pStyle w:val="Textnormy"/>
            </w:pPr>
            <w:r w:rsidRPr="00AC0FA5">
              <w:t>(dow)</w:t>
            </w:r>
          </w:p>
        </w:tc>
        <w:tc>
          <w:tcPr>
            <w:tcW w:w="1597" w:type="dxa"/>
            <w:vAlign w:val="bottom"/>
          </w:tcPr>
          <w:p w14:paraId="45577B2F" w14:textId="77777777" w:rsidR="0064220E" w:rsidRPr="00AC0FA5" w:rsidRDefault="007B6754" w:rsidP="007B6754">
            <w:pPr>
              <w:pStyle w:val="Textnormy"/>
            </w:pPr>
            <w:r>
              <w:t>2019</w:t>
            </w:r>
            <w:r w:rsidR="0064220E" w:rsidRPr="00AC0FA5">
              <w:t>-</w:t>
            </w:r>
            <w:r>
              <w:t>07</w:t>
            </w:r>
            <w:r w:rsidR="0064220E" w:rsidRPr="00AC0FA5">
              <w:t>-</w:t>
            </w:r>
            <w:r>
              <w:t>11</w:t>
            </w:r>
          </w:p>
        </w:tc>
      </w:tr>
    </w:tbl>
    <w:p w14:paraId="342A4DE0" w14:textId="77777777" w:rsidR="007B6754" w:rsidRDefault="007B6754" w:rsidP="007B6754">
      <w:pPr>
        <w:pStyle w:val="Textnormy"/>
        <w:spacing w:before="120"/>
      </w:pPr>
      <w:r w:rsidRPr="00AC0FA5">
        <w:t>Upozorňuje se na možnost, že některé prvky tohoto dokumentu mohou být předmětem patentových práv. CENELEC nelze činit odpovědným za identifikaci jakéhokoliv nebo všech patentových práv.</w:t>
      </w:r>
    </w:p>
    <w:p w14:paraId="55FA6018" w14:textId="77777777" w:rsidR="007B6754" w:rsidRDefault="007B6754" w:rsidP="007B6754">
      <w:pPr>
        <w:pStyle w:val="Textnormy"/>
      </w:pPr>
      <w:r>
        <w:t>Tento dokument byl vypracován na základě mandátu uděleného CENELEC Evropskou komisí a Evropským sdružením volného obchodu a podporuje splnění základní</w:t>
      </w:r>
      <w:r w:rsidR="00EC6DD8">
        <w:t>ch</w:t>
      </w:r>
      <w:r>
        <w:t xml:space="preserve"> požadavků směrnice (směrnic) EU.</w:t>
      </w:r>
    </w:p>
    <w:p w14:paraId="01454AC5" w14:textId="77777777" w:rsidR="007B6754" w:rsidRPr="00AC0FA5" w:rsidRDefault="007B6754" w:rsidP="007B6754">
      <w:pPr>
        <w:pStyle w:val="Textnormy"/>
      </w:pPr>
      <w:r>
        <w:t>Vztah ke směrnici (směrnicím) EU je uveden v informativní příloze ZZ, která je nedílnou součástí tohoto dokumentu.</w:t>
      </w:r>
    </w:p>
    <w:p w14:paraId="5A521712" w14:textId="77777777" w:rsidR="00A83EAB" w:rsidRPr="00AC0FA5" w:rsidRDefault="00A83EAB">
      <w:pPr>
        <w:pStyle w:val="Nadpislnku"/>
      </w:pPr>
      <w:r w:rsidRPr="00AC0FA5">
        <w:t>Oznámení</w:t>
      </w:r>
      <w:r w:rsidR="000E3DE6" w:rsidRPr="00AC0FA5">
        <w:t xml:space="preserve"> o </w:t>
      </w:r>
      <w:r w:rsidRPr="00AC0FA5">
        <w:t>schválení</w:t>
      </w:r>
    </w:p>
    <w:p w14:paraId="1A4BED87" w14:textId="76103E28" w:rsidR="00A83EAB" w:rsidRPr="00AC0FA5" w:rsidRDefault="00A83EAB">
      <w:pPr>
        <w:pStyle w:val="Textnormy"/>
      </w:pPr>
      <w:r w:rsidRPr="00AC0FA5">
        <w:t>Text mezinárodní normy IEC </w:t>
      </w:r>
      <w:r w:rsidR="007B6754">
        <w:t>60335-2-24</w:t>
      </w:r>
      <w:r w:rsidRPr="00AC0FA5">
        <w:t>:</w:t>
      </w:r>
      <w:r w:rsidR="007B6754">
        <w:t>2010/A2:2017</w:t>
      </w:r>
      <w:r w:rsidRPr="00AC0FA5">
        <w:t xml:space="preserve"> byl schválen CENELEC jako evropská norma bez </w:t>
      </w:r>
      <w:r w:rsidR="00720665">
        <w:br/>
      </w:r>
      <w:r w:rsidRPr="00AC0FA5">
        <w:t>jakýchkoliv modifikací.</w:t>
      </w:r>
    </w:p>
    <w:p w14:paraId="5FE48C48" w14:textId="77777777" w:rsidR="00417357" w:rsidRDefault="00417357" w:rsidP="00D8780A">
      <w:pPr>
        <w:pStyle w:val="Nadpis1"/>
        <w:pageBreakBefore/>
        <w:spacing w:before="0"/>
      </w:pPr>
      <w:bookmarkStart w:id="7" w:name="_Toc267935343"/>
      <w:bookmarkStart w:id="8" w:name="_Toc359251362"/>
      <w:bookmarkStart w:id="9" w:name="_Toc359251520"/>
      <w:bookmarkStart w:id="10" w:name="_Toc359251680"/>
      <w:bookmarkStart w:id="11" w:name="_Toc359251937"/>
      <w:bookmarkStart w:id="12" w:name="_Toc359252126"/>
      <w:bookmarkStart w:id="13" w:name="_Toc359252241"/>
      <w:bookmarkStart w:id="14" w:name="_Toc359252484"/>
      <w:bookmarkStart w:id="15" w:name="_Toc359252724"/>
      <w:bookmarkStart w:id="16" w:name="_Toc359252845"/>
      <w:bookmarkStart w:id="17" w:name="_Toc359252919"/>
      <w:bookmarkStart w:id="18" w:name="_Toc359283645"/>
      <w:bookmarkStart w:id="19" w:name="_Toc365965545"/>
      <w:bookmarkStart w:id="20" w:name="_Toc365967312"/>
      <w:bookmarkStart w:id="21" w:name="_Toc365968759"/>
      <w:bookmarkStart w:id="22" w:name="_Toc367082924"/>
      <w:bookmarkStart w:id="23" w:name="_Toc372429539"/>
      <w:bookmarkStart w:id="24" w:name="_Toc375302773"/>
      <w:bookmarkStart w:id="25" w:name="_Toc379098930"/>
      <w:bookmarkStart w:id="26" w:name="_Toc380735103"/>
      <w:bookmarkStart w:id="27" w:name="_Toc380735203"/>
      <w:bookmarkStart w:id="28" w:name="_Toc380825387"/>
      <w:bookmarkStart w:id="29" w:name="_Toc380827276"/>
      <w:bookmarkStart w:id="30" w:name="_Toc380886222"/>
      <w:bookmarkStart w:id="31" w:name="_Toc380886260"/>
      <w:bookmarkStart w:id="32" w:name="_Toc380886467"/>
      <w:bookmarkStart w:id="33" w:name="_Toc459535865"/>
      <w:r>
        <w:lastRenderedPageBreak/>
        <w:t>2</w:t>
      </w:r>
      <w:r>
        <w:t> </w:t>
      </w:r>
      <w:r>
        <w:t>Citované dokumenty</w:t>
      </w:r>
      <w:bookmarkEnd w:id="7"/>
    </w:p>
    <w:p w14:paraId="5DE68264" w14:textId="77777777" w:rsidR="00417357" w:rsidRPr="000733BD" w:rsidRDefault="00417357" w:rsidP="00417357">
      <w:pPr>
        <w:pStyle w:val="Textnormy"/>
        <w:rPr>
          <w:i/>
        </w:rPr>
      </w:pPr>
      <w:r>
        <w:rPr>
          <w:i/>
        </w:rPr>
        <w:t>Ze stávajícího seznamu se v</w:t>
      </w:r>
      <w:r w:rsidRPr="003C203D">
        <w:rPr>
          <w:i/>
        </w:rPr>
        <w:t>ypouští odkazy na</w:t>
      </w:r>
      <w:r>
        <w:t xml:space="preserve"> IEC 60079-4A </w:t>
      </w:r>
      <w:r w:rsidRPr="0057573F">
        <w:rPr>
          <w:i/>
        </w:rPr>
        <w:t>a</w:t>
      </w:r>
      <w:r>
        <w:t xml:space="preserve"> IEC</w:t>
      </w:r>
      <w:r w:rsidR="007B6754">
        <w:t>/TR</w:t>
      </w:r>
      <w:r>
        <w:t> 60079-20.</w:t>
      </w:r>
    </w:p>
    <w:p w14:paraId="6F25272B" w14:textId="77777777" w:rsidR="00417357" w:rsidRPr="003C203D" w:rsidRDefault="00417357" w:rsidP="00417357">
      <w:pPr>
        <w:pStyle w:val="Textnormy"/>
        <w:rPr>
          <w:i/>
        </w:rPr>
      </w:pPr>
      <w:r w:rsidRPr="003C203D">
        <w:rPr>
          <w:i/>
        </w:rPr>
        <w:t>Doplňuje se následující nový odkaz:</w:t>
      </w:r>
    </w:p>
    <w:p w14:paraId="7F5C8B96" w14:textId="7915118F" w:rsidR="00417357" w:rsidRDefault="00417357" w:rsidP="00417357">
      <w:pPr>
        <w:pStyle w:val="TextnormyUS"/>
      </w:pPr>
      <w:r>
        <w:t>IEC 60079-20-1 Explosive atmospheres – Part 20-1: Material characteristics for gas and vapour classification – Test methods and data</w:t>
      </w:r>
    </w:p>
    <w:p w14:paraId="1C63FA26" w14:textId="77777777" w:rsidR="00417357" w:rsidRDefault="00417357" w:rsidP="00417357">
      <w:pPr>
        <w:pStyle w:val="Textnormy"/>
        <w:rPr>
          <w:i/>
        </w:rPr>
      </w:pPr>
      <w:r>
        <w:rPr>
          <w:i/>
        </w:rPr>
        <w:t>(</w:t>
      </w:r>
      <w:r w:rsidRPr="003C203D">
        <w:rPr>
          <w:i/>
        </w:rPr>
        <w:t>Výbušné atmosféry – Část 20-1: Materiálové vlastnosti pro klasifikaci plynů a par – Zkušební metody a data</w:t>
      </w:r>
      <w:r>
        <w:rPr>
          <w:i/>
        </w:rPr>
        <w:t>)</w:t>
      </w:r>
    </w:p>
    <w:p w14:paraId="428032A3" w14:textId="77777777" w:rsidR="00417357" w:rsidRPr="00025D2A" w:rsidRDefault="00804375" w:rsidP="00417357">
      <w:pPr>
        <w:pStyle w:val="Textnormy"/>
        <w:rPr>
          <w:i/>
        </w:rPr>
      </w:pPr>
      <w:r w:rsidRPr="00804375">
        <w:rPr>
          <w:i/>
          <w:highlight w:val="yellow"/>
        </w:rPr>
        <w:t>pokračuje další text</w:t>
      </w:r>
      <w:r w:rsidR="00417357" w:rsidRPr="00804375">
        <w:rPr>
          <w:i/>
          <w:highlight w:val="yellow"/>
        </w:rPr>
        <w:t>:</w:t>
      </w:r>
    </w:p>
    <w:p w14:paraId="4B235ED9" w14:textId="77777777" w:rsidR="009E4686" w:rsidRDefault="009E4686" w:rsidP="009E4686">
      <w:pPr>
        <w:pStyle w:val="Nadpis1"/>
        <w:pageBreakBefore/>
        <w:spacing w:before="0"/>
      </w:pPr>
      <w:bookmarkStart w:id="34" w:name="_Toc380735112"/>
      <w:bookmarkStart w:id="35" w:name="_Toc380735212"/>
      <w:bookmarkStart w:id="36" w:name="_Toc380825397"/>
      <w:bookmarkStart w:id="37" w:name="_Toc380827286"/>
      <w:bookmarkStart w:id="38" w:name="_Toc380886232"/>
      <w:bookmarkStart w:id="39" w:name="_Toc380886270"/>
      <w:bookmarkStart w:id="40" w:name="_Toc380886380"/>
      <w:bookmarkStart w:id="41" w:name="_Toc380886477"/>
      <w:bookmarkStart w:id="42" w:name="_Toc4487168"/>
      <w:bookmarkStart w:id="43" w:name="_Toc448725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F08A1">
        <w:lastRenderedPageBreak/>
        <w:t xml:space="preserve">Příloha ZZ </w:t>
      </w:r>
      <w:r w:rsidRPr="002F7806">
        <w:rPr>
          <w:b w:val="0"/>
        </w:rPr>
        <w:t>(informativní)</w:t>
      </w:r>
    </w:p>
    <w:p w14:paraId="26FA7730" w14:textId="208EFE74" w:rsidR="009E4686" w:rsidRPr="009F08A1" w:rsidRDefault="009E4686" w:rsidP="00720665">
      <w:pPr>
        <w:pStyle w:val="Nadpis1"/>
      </w:pPr>
      <w:r w:rsidRPr="009F08A1">
        <w:t xml:space="preserve">Vztah mezi touto evropskou normou a </w:t>
      </w:r>
      <w:r w:rsidR="0000569D">
        <w:t>bezpečnostními cíli</w:t>
      </w:r>
      <w:r w:rsidRPr="009F08A1">
        <w:t xml:space="preserve"> směrnice 2014/35/EU </w:t>
      </w:r>
      <w:r w:rsidR="001759F7">
        <w:br/>
      </w:r>
      <w:r w:rsidRPr="009F08A1">
        <w:t>[2014 OJ L96], které mají být pokryty</w:t>
      </w:r>
    </w:p>
    <w:p w14:paraId="71BB236F" w14:textId="77777777" w:rsidR="009E4686" w:rsidRPr="008A11ED" w:rsidRDefault="009E4686" w:rsidP="00720665">
      <w:pPr>
        <w:pStyle w:val="Textnormy"/>
      </w:pPr>
      <w:r w:rsidRPr="008A11ED">
        <w:t>Tato evropská norma byla vypracována na základě normalizačního požadavku Komise M/511, týkající</w:t>
      </w:r>
      <w:r>
        <w:t>ho</w:t>
      </w:r>
      <w:r w:rsidRPr="008A11ED">
        <w:t xml:space="preserve"> se harmonizovaných norem v oblasti směrnice o nízkém napětí</w:t>
      </w:r>
      <w:r w:rsidR="000F55E2">
        <w:t xml:space="preserve"> (LVD)</w:t>
      </w:r>
      <w:r w:rsidRPr="008A11ED">
        <w:t>, za účelem poskytnutí jednoho dobrovolného prostředku pro zajištění shody s</w:t>
      </w:r>
      <w:r>
        <w:t> </w:t>
      </w:r>
      <w:r w:rsidRPr="008A11ED">
        <w:t>bezpečnost</w:t>
      </w:r>
      <w:r>
        <w:t>ními cíli</w:t>
      </w:r>
      <w:r w:rsidRPr="008A11ED">
        <w:t xml:space="preserve"> </w:t>
      </w:r>
      <w:r>
        <w:t>s</w:t>
      </w:r>
      <w:r w:rsidRPr="008A11ED">
        <w:t>měrnice 2014/35/EU Evropského parlamentu a Rady ze</w:t>
      </w:r>
      <w:r>
        <w:t xml:space="preserve"> </w:t>
      </w:r>
      <w:r w:rsidRPr="008A11ED">
        <w:t>dne</w:t>
      </w:r>
      <w:r>
        <w:t xml:space="preserve"> </w:t>
      </w:r>
      <w:r w:rsidRPr="008A11ED">
        <w:t xml:space="preserve">26. února 2014 o harmonizaci </w:t>
      </w:r>
      <w:r>
        <w:t>právních předpisů</w:t>
      </w:r>
      <w:r w:rsidRPr="008A11ED">
        <w:t xml:space="preserve"> členských států týkajících se dodávání elektrických zařízení určených pro používání v určitých mezích napětí na trh </w:t>
      </w:r>
      <w:r w:rsidRPr="008A11ED">
        <w:rPr>
          <w:rFonts w:cs="Arial"/>
        </w:rPr>
        <w:t>[</w:t>
      </w:r>
      <w:r w:rsidRPr="008A11ED">
        <w:t>2014 OJ L96</w:t>
      </w:r>
      <w:r w:rsidRPr="008A11ED">
        <w:rPr>
          <w:rFonts w:cs="Arial"/>
        </w:rPr>
        <w:t>]</w:t>
      </w:r>
      <w:r w:rsidRPr="008A11ED">
        <w:t>.</w:t>
      </w:r>
    </w:p>
    <w:p w14:paraId="334B3F9A" w14:textId="77777777" w:rsidR="009E4686" w:rsidRDefault="009E4686" w:rsidP="00720665">
      <w:pPr>
        <w:pStyle w:val="Textnormy"/>
      </w:pPr>
      <w:r w:rsidRPr="008A11ED">
        <w:t>Jakmile je tato norma uvedena v Úředním věstníku Evropské unie v rámci této směrnice, potom shoda s ustanoveními</w:t>
      </w:r>
      <w:r>
        <w:t xml:space="preserve"> </w:t>
      </w:r>
      <w:r w:rsidRPr="008A11ED">
        <w:t>této normy uvedenými v tabulce ZZ</w:t>
      </w:r>
      <w:r>
        <w:t>A</w:t>
      </w:r>
      <w:r w:rsidRPr="008A11ED">
        <w:t xml:space="preserve">.1 potvrzuje v rozsahu </w:t>
      </w:r>
      <w:r>
        <w:t>platnosti</w:t>
      </w:r>
      <w:r w:rsidRPr="008A11ED">
        <w:t xml:space="preserve"> této normy předpoklad shody s příslušnými </w:t>
      </w:r>
      <w:r>
        <w:t>bezpečnostními cíli</w:t>
      </w:r>
      <w:r w:rsidRPr="008A11ED">
        <w:t xml:space="preserve"> této směrnice a přidružených předpisů ESVO.</w:t>
      </w:r>
    </w:p>
    <w:p w14:paraId="68D3CE89" w14:textId="77777777" w:rsidR="009E4686" w:rsidRPr="008A11ED" w:rsidRDefault="009E4686" w:rsidP="00720665">
      <w:pPr>
        <w:pStyle w:val="Textnormy"/>
      </w:pPr>
      <w:r>
        <w:t xml:space="preserve">Splnění požadavků této </w:t>
      </w:r>
      <w:r w:rsidR="00D64E07">
        <w:t>části 2</w:t>
      </w:r>
      <w:r>
        <w:t xml:space="preserve"> společně s částí 1, poskytuje jeden dobrovolný prostředek shody s bezpečnostními cíli.</w:t>
      </w:r>
    </w:p>
    <w:p w14:paraId="20A74493" w14:textId="77777777" w:rsidR="009E4686" w:rsidRPr="008A11ED" w:rsidRDefault="009E4686" w:rsidP="00D8780A">
      <w:pPr>
        <w:pStyle w:val="NadpisTab"/>
      </w:pPr>
      <w:r w:rsidRPr="008A11ED">
        <w:t>Tabulka ZZ</w:t>
      </w:r>
      <w:r>
        <w:t>A</w:t>
      </w:r>
      <w:r w:rsidRPr="008A11ED">
        <w:t xml:space="preserve">.1 – Vztah mezi touto evropskou normou a </w:t>
      </w:r>
      <w:r>
        <w:t xml:space="preserve">přílohou I </w:t>
      </w:r>
      <w:r w:rsidRPr="008A11ED">
        <w:t>směrnic</w:t>
      </w:r>
      <w:r>
        <w:t>e</w:t>
      </w:r>
      <w:r w:rsidRPr="008A11ED">
        <w:t xml:space="preserve"> 2014/35/EU</w:t>
      </w:r>
      <w:r w:rsidRPr="008A11ED">
        <w:rPr>
          <w:rFonts w:cs="Arial"/>
        </w:rPr>
        <w:t xml:space="preserve"> [</w:t>
      </w:r>
      <w:r w:rsidRPr="008A11ED">
        <w:t>2014 OJ L96</w:t>
      </w:r>
      <w:r w:rsidRPr="008A11ED">
        <w:rPr>
          <w:rFonts w:cs="Arial"/>
        </w:rPr>
        <w:t>]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843"/>
      </w:tblGrid>
      <w:tr w:rsidR="009E4686" w:rsidRPr="00761E6A" w14:paraId="6C6A03F7" w14:textId="77777777" w:rsidTr="00D8780A">
        <w:trPr>
          <w:jc w:val="center"/>
        </w:trPr>
        <w:tc>
          <w:tcPr>
            <w:tcW w:w="2552" w:type="dxa"/>
            <w:shd w:val="clear" w:color="auto" w:fill="auto"/>
          </w:tcPr>
          <w:p w14:paraId="4BFE76F8" w14:textId="77777777" w:rsidR="009E4686" w:rsidRPr="00037B0C" w:rsidRDefault="009E4686" w:rsidP="00D8780A">
            <w:pPr>
              <w:pStyle w:val="Texttabulky"/>
              <w:jc w:val="center"/>
            </w:pPr>
            <w:r w:rsidRPr="00037B0C">
              <w:t>Bezpečnost</w:t>
            </w:r>
            <w:r>
              <w:t>ní cíle</w:t>
            </w:r>
            <w:r w:rsidRPr="00037B0C">
              <w:t xml:space="preserve"> směrnice 2014/35/EU</w:t>
            </w:r>
          </w:p>
        </w:tc>
        <w:tc>
          <w:tcPr>
            <w:tcW w:w="5528" w:type="dxa"/>
            <w:shd w:val="clear" w:color="auto" w:fill="auto"/>
          </w:tcPr>
          <w:p w14:paraId="7C26F171" w14:textId="77777777" w:rsidR="009E4686" w:rsidRPr="00761E6A" w:rsidRDefault="00B92B90" w:rsidP="00D8780A">
            <w:pPr>
              <w:pStyle w:val="Texttabulky"/>
              <w:jc w:val="center"/>
            </w:pPr>
            <w:r>
              <w:t>Kapitoly / články</w:t>
            </w:r>
            <w:r w:rsidR="009E4686" w:rsidRPr="00761E6A">
              <w:t xml:space="preserve"> této EN</w:t>
            </w:r>
          </w:p>
        </w:tc>
        <w:tc>
          <w:tcPr>
            <w:tcW w:w="1843" w:type="dxa"/>
            <w:shd w:val="clear" w:color="auto" w:fill="auto"/>
          </w:tcPr>
          <w:p w14:paraId="7D0964B9" w14:textId="77777777" w:rsidR="009E4686" w:rsidRPr="00761E6A" w:rsidRDefault="009E4686" w:rsidP="00D8780A">
            <w:pPr>
              <w:pStyle w:val="Texttabulky"/>
              <w:jc w:val="center"/>
            </w:pPr>
            <w:r w:rsidRPr="00761E6A">
              <w:t>Komentáře / poznámky</w:t>
            </w:r>
          </w:p>
        </w:tc>
      </w:tr>
      <w:tr w:rsidR="009E4686" w:rsidRPr="004A185A" w14:paraId="36573A05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271730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1 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B15B0A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4, 7</w:t>
            </w:r>
          </w:p>
        </w:tc>
        <w:tc>
          <w:tcPr>
            <w:tcW w:w="1843" w:type="dxa"/>
            <w:shd w:val="clear" w:color="auto" w:fill="auto"/>
          </w:tcPr>
          <w:p w14:paraId="16FE56DE" w14:textId="77777777" w:rsidR="009E4686" w:rsidRPr="00126FC4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40FA1E03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B59B492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1 b)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712E50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4, 7</w:t>
            </w:r>
          </w:p>
        </w:tc>
        <w:tc>
          <w:tcPr>
            <w:tcW w:w="1843" w:type="dxa"/>
            <w:shd w:val="clear" w:color="auto" w:fill="auto"/>
          </w:tcPr>
          <w:p w14:paraId="500A94C5" w14:textId="77777777" w:rsidR="009E4686" w:rsidRPr="00126FC4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548D7C09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65E27C3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1 c)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285966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4, 7</w:t>
            </w:r>
          </w:p>
        </w:tc>
        <w:tc>
          <w:tcPr>
            <w:tcW w:w="1843" w:type="dxa"/>
            <w:shd w:val="clear" w:color="auto" w:fill="auto"/>
          </w:tcPr>
          <w:p w14:paraId="27FA9E09" w14:textId="77777777" w:rsidR="009E4686" w:rsidRPr="00126FC4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66422763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2DC4B05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2 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36F247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6, 7, 8, 9, 10, 11, 13, 14, 15, 16, 17, 19, 20, 21, 22, 23, 24, 25, 26, 27, 28, 29, 30, 31</w:t>
            </w:r>
          </w:p>
        </w:tc>
        <w:tc>
          <w:tcPr>
            <w:tcW w:w="1843" w:type="dxa"/>
            <w:shd w:val="clear" w:color="auto" w:fill="auto"/>
          </w:tcPr>
          <w:p w14:paraId="1EF98A7A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4637657A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2EDDC3B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2 b)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26800D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6, 7, 8, 9, 10, 11, 13, 14, 15, 16, 17, 19, 20, 21, 22, 23, 24, 25, 26, 27, 28, 29, 30, 31</w:t>
            </w:r>
          </w:p>
        </w:tc>
        <w:tc>
          <w:tcPr>
            <w:tcW w:w="1843" w:type="dxa"/>
            <w:shd w:val="clear" w:color="auto" w:fill="auto"/>
          </w:tcPr>
          <w:p w14:paraId="420B4A8A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452287D8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63CCEE3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2 c)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D9C4EF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6, 7, 11, 15, 17, 18, 19, 20, 21, 22, 24, 25, 30, 32</w:t>
            </w:r>
          </w:p>
        </w:tc>
        <w:tc>
          <w:tcPr>
            <w:tcW w:w="1843" w:type="dxa"/>
            <w:shd w:val="clear" w:color="auto" w:fill="auto"/>
          </w:tcPr>
          <w:p w14:paraId="3E65094C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2119A628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C23E23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2 d)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D6A84C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6, 7, 8, 9, 10, 11, 13, 14, 15, 16, 17, 19, 20, 21, 22, 23, 24, 25, 26, 27, 28, 29, 30, 31</w:t>
            </w:r>
          </w:p>
        </w:tc>
        <w:tc>
          <w:tcPr>
            <w:tcW w:w="1843" w:type="dxa"/>
            <w:shd w:val="clear" w:color="auto" w:fill="auto"/>
          </w:tcPr>
          <w:p w14:paraId="7C032E71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2B3D8836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07FECE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3 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C72077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6, 7, 11, 17, 18, 19, 20, 21, 22</w:t>
            </w:r>
          </w:p>
        </w:tc>
        <w:tc>
          <w:tcPr>
            <w:tcW w:w="1843" w:type="dxa"/>
            <w:shd w:val="clear" w:color="auto" w:fill="auto"/>
          </w:tcPr>
          <w:p w14:paraId="5B356A58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3C0E39DA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29F5C13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3 b)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9C4AA6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7, 11, 15, 19, 22, 25, 32</w:t>
            </w:r>
          </w:p>
        </w:tc>
        <w:tc>
          <w:tcPr>
            <w:tcW w:w="1843" w:type="dxa"/>
            <w:shd w:val="clear" w:color="auto" w:fill="auto"/>
          </w:tcPr>
          <w:p w14:paraId="14E8A4FD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  <w:tr w:rsidR="009E4686" w:rsidRPr="004A185A" w14:paraId="70A8864A" w14:textId="77777777" w:rsidTr="00D8780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8CE4607" w14:textId="77777777" w:rsidR="009E4686" w:rsidRPr="00753B10" w:rsidRDefault="009E4686" w:rsidP="00D8780A">
            <w:pPr>
              <w:pStyle w:val="Texttabulky"/>
              <w:jc w:val="center"/>
              <w:rPr>
                <w:rFonts w:cs="Arial"/>
              </w:rPr>
            </w:pPr>
            <w:r w:rsidRPr="00753B10">
              <w:rPr>
                <w:rFonts w:cs="Arial"/>
              </w:rPr>
              <w:t>3 c)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61283F" w14:textId="77777777" w:rsidR="009E4686" w:rsidRPr="00753B10" w:rsidRDefault="009E4686" w:rsidP="00D8780A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Kapitoly</w:t>
            </w:r>
            <w:r w:rsidRPr="00753B10">
              <w:rPr>
                <w:rFonts w:cs="Arial"/>
              </w:rPr>
              <w:t xml:space="preserve"> 6, 7, 9, 10, 11, 14, 17, 18, 19, 21, 22</w:t>
            </w:r>
          </w:p>
        </w:tc>
        <w:tc>
          <w:tcPr>
            <w:tcW w:w="1843" w:type="dxa"/>
            <w:shd w:val="clear" w:color="auto" w:fill="auto"/>
          </w:tcPr>
          <w:p w14:paraId="6651F172" w14:textId="77777777" w:rsidR="009E4686" w:rsidRDefault="009E4686" w:rsidP="00D8780A">
            <w:pPr>
              <w:pStyle w:val="Texttabulky"/>
              <w:jc w:val="center"/>
            </w:pPr>
            <w:r>
              <w:t>Žádné</w:t>
            </w:r>
          </w:p>
        </w:tc>
      </w:tr>
    </w:tbl>
    <w:p w14:paraId="60348642" w14:textId="77777777" w:rsidR="009E4686" w:rsidRPr="00AB3E2C" w:rsidRDefault="009E4686" w:rsidP="00720665">
      <w:pPr>
        <w:pStyle w:val="Textnormy"/>
        <w:spacing w:before="240"/>
      </w:pPr>
      <w:r w:rsidRPr="00035C7A">
        <w:t>UPOZORNĚNÍ 1</w:t>
      </w:r>
      <w:r>
        <w:t> </w:t>
      </w:r>
      <w:r w:rsidRPr="00AB3E2C">
        <w:t>Předpoklad shody platí pouze tak dlouho, dokud je odkaz na tuto evropskou normu zachován v</w:t>
      </w:r>
      <w:r>
        <w:t> </w:t>
      </w:r>
      <w:r w:rsidRPr="00AB3E2C">
        <w:t>seznamu</w:t>
      </w:r>
      <w:r>
        <w:t xml:space="preserve"> </w:t>
      </w:r>
      <w:r w:rsidRPr="00AB3E2C">
        <w:t>uveřejněném v</w:t>
      </w:r>
      <w:r>
        <w:t> </w:t>
      </w:r>
      <w:r w:rsidRPr="00AB3E2C">
        <w:t>Úředním</w:t>
      </w:r>
      <w:r>
        <w:t xml:space="preserve"> </w:t>
      </w:r>
      <w:r w:rsidRPr="00AB3E2C">
        <w:t>věstníku Evropské unie. Uživatelé této normy by měli průběžně nahlížet do nejnovějšího seznamu v</w:t>
      </w:r>
      <w:r>
        <w:t> </w:t>
      </w:r>
      <w:r w:rsidRPr="00AB3E2C">
        <w:t>Úředním</w:t>
      </w:r>
      <w:r>
        <w:t xml:space="preserve"> </w:t>
      </w:r>
      <w:r w:rsidRPr="00AB3E2C">
        <w:t>věstníku Evropské unie.</w:t>
      </w:r>
    </w:p>
    <w:p w14:paraId="1CB0A236" w14:textId="7FDD7F7B" w:rsidR="009E4686" w:rsidRPr="00AC0FA5" w:rsidRDefault="009E4686" w:rsidP="00720665">
      <w:pPr>
        <w:pStyle w:val="Textnormy"/>
      </w:pPr>
      <w:r w:rsidRPr="00035C7A">
        <w:t>UPOZORNĚNÍ 2</w:t>
      </w:r>
      <w:r w:rsidRPr="00B124FB">
        <w:t> </w:t>
      </w:r>
      <w:r w:rsidRPr="00B95FD0">
        <w:t>Na výrobek (výrobky), který je předmětem této normy, se mo</w:t>
      </w:r>
      <w:r>
        <w:t>hou vztahovat další právní předpisy Unie</w:t>
      </w:r>
      <w:r w:rsidRPr="00B95FD0">
        <w:t>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sectPr w:rsidR="009E4686" w:rsidRPr="00AC0F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34A9" w14:textId="77777777" w:rsidR="00130E76" w:rsidRDefault="00130E76">
      <w:r>
        <w:separator/>
      </w:r>
    </w:p>
  </w:endnote>
  <w:endnote w:type="continuationSeparator" w:id="0">
    <w:p w14:paraId="29180DF2" w14:textId="77777777" w:rsidR="00130E76" w:rsidRDefault="001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E3D6" w14:textId="77777777" w:rsidR="009675F0" w:rsidRDefault="009675F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29</w:t>
    </w:r>
    <w:r>
      <w:rPr>
        <w:rStyle w:val="slostrnky"/>
      </w:rPr>
      <w:fldChar w:fldCharType="end"/>
    </w:r>
  </w:p>
  <w:p w14:paraId="2DF681E7" w14:textId="77777777" w:rsidR="009675F0" w:rsidRDefault="009675F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BB07" w14:textId="77777777" w:rsidR="009675F0" w:rsidRDefault="009675F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29</w:t>
    </w:r>
    <w:r>
      <w:rPr>
        <w:rStyle w:val="slostrnky"/>
      </w:rPr>
      <w:fldChar w:fldCharType="end"/>
    </w:r>
  </w:p>
  <w:p w14:paraId="46B1EF28" w14:textId="77777777" w:rsidR="009675F0" w:rsidRDefault="009675F0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BB34" w14:textId="09559027" w:rsidR="009675F0" w:rsidRDefault="002F6D6F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77E5C1" wp14:editId="57B5D2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07EE7" w14:textId="77777777" w:rsidR="009675F0" w:rsidRDefault="002F6D6F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3C590292" wp14:editId="3DC4722E">
                                <wp:extent cx="899795" cy="321945"/>
                                <wp:effectExtent l="0" t="0" r="0" b="0"/>
                                <wp:docPr id="8" name="obrázek 4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321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7E5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" o:allowincell="f" stroked="f">
              <v:textbox inset="0,0,0,0">
                <w:txbxContent>
                  <w:p w14:paraId="75607EE7" w14:textId="77777777" w:rsidR="009675F0" w:rsidRDefault="002F6D6F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3C590292" wp14:editId="3DC4722E">
                          <wp:extent cx="899795" cy="321945"/>
                          <wp:effectExtent l="0" t="0" r="0" b="0"/>
                          <wp:docPr id="8" name="obrázek 4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321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5F0">
      <w:tab/>
    </w:r>
    <w:r w:rsidR="009675F0">
      <w:rPr>
        <w:sz w:val="16"/>
      </w:rPr>
      <w:t>© Úřad pro technickou normalizaci, metrol</w:t>
    </w:r>
    <w:r w:rsidR="0068527B">
      <w:rPr>
        <w:sz w:val="16"/>
      </w:rPr>
      <w:t xml:space="preserve">ogii a státní zkušebnictví, </w:t>
    </w:r>
    <w:r w:rsidR="00B80AFF">
      <w:rPr>
        <w:sz w:val="16"/>
      </w:rPr>
      <w:t>RRRR</w:t>
    </w:r>
    <w:r w:rsidR="009675F0">
      <w:rPr>
        <w:sz w:val="16"/>
      </w:rPr>
      <w:tab/>
    </w:r>
    <w:r w:rsidR="009675F0">
      <w:rPr>
        <w:b/>
        <w:sz w:val="20"/>
      </w:rPr>
      <w:t>XXXXX</w:t>
    </w:r>
    <w:r w:rsidR="009675F0">
      <w:rPr>
        <w:b/>
        <w:sz w:val="16"/>
      </w:rPr>
      <w:br/>
    </w:r>
    <w:r w:rsidR="009675F0">
      <w:rPr>
        <w:sz w:val="16"/>
      </w:rPr>
      <w:t>Podle zákona č. 22/1997 Sb. smějí být české technické normy rozmnožovány a rozšiřovány</w:t>
    </w:r>
    <w:r w:rsidR="009675F0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7183" w14:textId="77777777" w:rsidR="009675F0" w:rsidRDefault="009675F0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5F77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7026" w14:textId="77777777" w:rsidR="009675F0" w:rsidRDefault="009675F0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5F7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F65B" w14:textId="77777777" w:rsidR="00130E76" w:rsidRDefault="00130E76">
      <w:r>
        <w:separator/>
      </w:r>
    </w:p>
  </w:footnote>
  <w:footnote w:type="continuationSeparator" w:id="0">
    <w:p w14:paraId="03DA9229" w14:textId="77777777" w:rsidR="00130E76" w:rsidRDefault="0013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06D2" w14:textId="0475B35B" w:rsidR="009675F0" w:rsidRDefault="00130E76">
    <w:pPr>
      <w:pStyle w:val="Zhlav"/>
    </w:pPr>
    <w:r>
      <w:rPr>
        <w:noProof/>
      </w:rPr>
      <w:pict w14:anchorId="5FDB8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2" o:spid="_x0000_s2050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675F0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83EC" w14:textId="24DDEBBA" w:rsidR="009675F0" w:rsidRDefault="00130E76">
    <w:pPr>
      <w:pStyle w:val="Zhlav"/>
      <w:jc w:val="right"/>
    </w:pPr>
    <w:r>
      <w:rPr>
        <w:noProof/>
      </w:rPr>
      <w:pict w14:anchorId="4E120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3" o:spid="_x0000_s2051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675F0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C510" w14:textId="307E50CF" w:rsidR="008066CB" w:rsidRDefault="00130E76">
    <w:pPr>
      <w:pStyle w:val="Zhlav"/>
    </w:pPr>
    <w:r>
      <w:rPr>
        <w:noProof/>
      </w:rPr>
      <w:pict w14:anchorId="3A642F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1" o:spid="_x0000_s2049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58A4" w14:textId="2BD4DD1A" w:rsidR="009675F0" w:rsidRDefault="00130E76" w:rsidP="00B00C36">
    <w:pPr>
      <w:pStyle w:val="Zhlav"/>
    </w:pPr>
    <w:r>
      <w:rPr>
        <w:noProof/>
      </w:rPr>
      <w:pict w14:anchorId="7B3E9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5" o:spid="_x0000_s2053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675F0">
      <w:t xml:space="preserve">ČSN EN </w:t>
    </w:r>
    <w:r w:rsidR="006D7EEA">
      <w:t>60335-2-24 ed. 5/A2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B3F2" w14:textId="1B196B03" w:rsidR="009675F0" w:rsidRDefault="00130E76" w:rsidP="00B307D8">
    <w:pPr>
      <w:pStyle w:val="Zhlav"/>
      <w:jc w:val="right"/>
    </w:pPr>
    <w:r>
      <w:rPr>
        <w:noProof/>
      </w:rPr>
      <w:pict w14:anchorId="68B5A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6" o:spid="_x0000_s2054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675F0">
      <w:t xml:space="preserve">ČSN EN </w:t>
    </w:r>
    <w:r w:rsidR="006D7EEA">
      <w:t>60335-2-24 ed. 5/A2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3B5C" w14:textId="596E636C" w:rsidR="008066CB" w:rsidRDefault="00130E76">
    <w:pPr>
      <w:pStyle w:val="Zhlav"/>
    </w:pPr>
    <w:r>
      <w:rPr>
        <w:noProof/>
      </w:rPr>
      <w:pict w14:anchorId="42412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8894" o:spid="_x0000_s2052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6149F9"/>
    <w:multiLevelType w:val="hybridMultilevel"/>
    <w:tmpl w:val="557AA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24C04"/>
    <w:multiLevelType w:val="hybridMultilevel"/>
    <w:tmpl w:val="1AC44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4F3E11"/>
    <w:multiLevelType w:val="hybridMultilevel"/>
    <w:tmpl w:val="9B6C28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76955EF"/>
    <w:multiLevelType w:val="hybridMultilevel"/>
    <w:tmpl w:val="D8CCC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21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36A53"/>
    <w:multiLevelType w:val="hybridMultilevel"/>
    <w:tmpl w:val="5CE2D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10"/>
    <w:lvlOverride w:ilvl="0">
      <w:startOverride w:val="1"/>
    </w:lvlOverride>
  </w:num>
  <w:num w:numId="3">
    <w:abstractNumId w:val="21"/>
  </w:num>
  <w:num w:numId="4">
    <w:abstractNumId w:val="17"/>
  </w:num>
  <w:num w:numId="5">
    <w:abstractNumId w:val="19"/>
  </w:num>
  <w:num w:numId="6">
    <w:abstractNumId w:val="9"/>
  </w:num>
  <w:num w:numId="7">
    <w:abstractNumId w:val="10"/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3"/>
  </w:num>
  <w:num w:numId="24">
    <w:abstractNumId w:val="24"/>
  </w:num>
  <w:num w:numId="25">
    <w:abstractNumId w:val="15"/>
  </w:num>
  <w:num w:numId="26">
    <w:abstractNumId w:val="12"/>
  </w:num>
  <w:num w:numId="27">
    <w:abstractNumId w:val="13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clickAndTypeStyle w:val="Textnormy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F"/>
    <w:rsid w:val="00000F2F"/>
    <w:rsid w:val="0000569D"/>
    <w:rsid w:val="00007C06"/>
    <w:rsid w:val="00010F27"/>
    <w:rsid w:val="0001110F"/>
    <w:rsid w:val="00024058"/>
    <w:rsid w:val="000300C0"/>
    <w:rsid w:val="0003012A"/>
    <w:rsid w:val="00035092"/>
    <w:rsid w:val="00035C7A"/>
    <w:rsid w:val="00042E19"/>
    <w:rsid w:val="0005061C"/>
    <w:rsid w:val="00051CD1"/>
    <w:rsid w:val="000629D7"/>
    <w:rsid w:val="000666FD"/>
    <w:rsid w:val="000671D6"/>
    <w:rsid w:val="0006754A"/>
    <w:rsid w:val="000759B8"/>
    <w:rsid w:val="00080172"/>
    <w:rsid w:val="000804B0"/>
    <w:rsid w:val="000839C7"/>
    <w:rsid w:val="00096968"/>
    <w:rsid w:val="00097954"/>
    <w:rsid w:val="000A16F2"/>
    <w:rsid w:val="000C0CD4"/>
    <w:rsid w:val="000C56EE"/>
    <w:rsid w:val="000C67B2"/>
    <w:rsid w:val="000C79E5"/>
    <w:rsid w:val="000D5401"/>
    <w:rsid w:val="000E1F7D"/>
    <w:rsid w:val="000E3DE6"/>
    <w:rsid w:val="000E4445"/>
    <w:rsid w:val="000F55E2"/>
    <w:rsid w:val="00100CF5"/>
    <w:rsid w:val="00103F06"/>
    <w:rsid w:val="00106E00"/>
    <w:rsid w:val="00107779"/>
    <w:rsid w:val="0011427A"/>
    <w:rsid w:val="00117800"/>
    <w:rsid w:val="0012080E"/>
    <w:rsid w:val="0012143B"/>
    <w:rsid w:val="00130190"/>
    <w:rsid w:val="001307B8"/>
    <w:rsid w:val="00130E76"/>
    <w:rsid w:val="00133BC8"/>
    <w:rsid w:val="00135415"/>
    <w:rsid w:val="00144C60"/>
    <w:rsid w:val="0014577A"/>
    <w:rsid w:val="00150DF0"/>
    <w:rsid w:val="001535C4"/>
    <w:rsid w:val="00165D45"/>
    <w:rsid w:val="00174D68"/>
    <w:rsid w:val="001759F7"/>
    <w:rsid w:val="001807E1"/>
    <w:rsid w:val="00184A9F"/>
    <w:rsid w:val="00187127"/>
    <w:rsid w:val="001907EE"/>
    <w:rsid w:val="001907F2"/>
    <w:rsid w:val="00194B32"/>
    <w:rsid w:val="00196552"/>
    <w:rsid w:val="0019678E"/>
    <w:rsid w:val="001B63E7"/>
    <w:rsid w:val="001B7EEA"/>
    <w:rsid w:val="001F1BF5"/>
    <w:rsid w:val="00200E33"/>
    <w:rsid w:val="002021CE"/>
    <w:rsid w:val="00210213"/>
    <w:rsid w:val="00211E60"/>
    <w:rsid w:val="0021214F"/>
    <w:rsid w:val="00214142"/>
    <w:rsid w:val="00214934"/>
    <w:rsid w:val="00222C74"/>
    <w:rsid w:val="00230306"/>
    <w:rsid w:val="00231E3C"/>
    <w:rsid w:val="00232F66"/>
    <w:rsid w:val="0023580D"/>
    <w:rsid w:val="00240AE2"/>
    <w:rsid w:val="002475E5"/>
    <w:rsid w:val="00251E4B"/>
    <w:rsid w:val="00262B3C"/>
    <w:rsid w:val="00280866"/>
    <w:rsid w:val="00296480"/>
    <w:rsid w:val="002B525E"/>
    <w:rsid w:val="002E3802"/>
    <w:rsid w:val="002F6D6F"/>
    <w:rsid w:val="002F7F60"/>
    <w:rsid w:val="0030105E"/>
    <w:rsid w:val="0030360F"/>
    <w:rsid w:val="003132F5"/>
    <w:rsid w:val="003144EF"/>
    <w:rsid w:val="0031542D"/>
    <w:rsid w:val="003222A7"/>
    <w:rsid w:val="00335192"/>
    <w:rsid w:val="00345180"/>
    <w:rsid w:val="00345593"/>
    <w:rsid w:val="00346577"/>
    <w:rsid w:val="00347807"/>
    <w:rsid w:val="0035554C"/>
    <w:rsid w:val="00357EAF"/>
    <w:rsid w:val="00370B19"/>
    <w:rsid w:val="003738D3"/>
    <w:rsid w:val="00374E5C"/>
    <w:rsid w:val="00376AD2"/>
    <w:rsid w:val="0037738D"/>
    <w:rsid w:val="00381CF7"/>
    <w:rsid w:val="00390EE2"/>
    <w:rsid w:val="003949FB"/>
    <w:rsid w:val="00395F77"/>
    <w:rsid w:val="00396B8A"/>
    <w:rsid w:val="00396C33"/>
    <w:rsid w:val="003A4719"/>
    <w:rsid w:val="003A5C1C"/>
    <w:rsid w:val="003A7EEA"/>
    <w:rsid w:val="003C05DD"/>
    <w:rsid w:val="003C4B2B"/>
    <w:rsid w:val="003C6678"/>
    <w:rsid w:val="003D0F4B"/>
    <w:rsid w:val="003E244B"/>
    <w:rsid w:val="003F715C"/>
    <w:rsid w:val="004046CE"/>
    <w:rsid w:val="00404809"/>
    <w:rsid w:val="00406AD4"/>
    <w:rsid w:val="00410997"/>
    <w:rsid w:val="00412CB3"/>
    <w:rsid w:val="00417357"/>
    <w:rsid w:val="00417E2C"/>
    <w:rsid w:val="00422E72"/>
    <w:rsid w:val="00426687"/>
    <w:rsid w:val="00427425"/>
    <w:rsid w:val="00427B6D"/>
    <w:rsid w:val="004438ED"/>
    <w:rsid w:val="0045063E"/>
    <w:rsid w:val="0045350D"/>
    <w:rsid w:val="00456C24"/>
    <w:rsid w:val="004626C1"/>
    <w:rsid w:val="00475087"/>
    <w:rsid w:val="00476532"/>
    <w:rsid w:val="00486B02"/>
    <w:rsid w:val="00493330"/>
    <w:rsid w:val="004A0408"/>
    <w:rsid w:val="004B56F1"/>
    <w:rsid w:val="004C27D1"/>
    <w:rsid w:val="004C2ED7"/>
    <w:rsid w:val="004C5D55"/>
    <w:rsid w:val="004C6C57"/>
    <w:rsid w:val="004D1194"/>
    <w:rsid w:val="004D3D3F"/>
    <w:rsid w:val="004D455F"/>
    <w:rsid w:val="004D7B4D"/>
    <w:rsid w:val="004E3118"/>
    <w:rsid w:val="004E62C7"/>
    <w:rsid w:val="004E6FF0"/>
    <w:rsid w:val="004E7BE5"/>
    <w:rsid w:val="004F0B96"/>
    <w:rsid w:val="004F13A5"/>
    <w:rsid w:val="004F4A4D"/>
    <w:rsid w:val="004F5163"/>
    <w:rsid w:val="004F598A"/>
    <w:rsid w:val="00503D98"/>
    <w:rsid w:val="00503F3D"/>
    <w:rsid w:val="00510F9E"/>
    <w:rsid w:val="00517DA2"/>
    <w:rsid w:val="00530202"/>
    <w:rsid w:val="0053212E"/>
    <w:rsid w:val="005373E4"/>
    <w:rsid w:val="00543CB2"/>
    <w:rsid w:val="00546A44"/>
    <w:rsid w:val="00551AB7"/>
    <w:rsid w:val="00551C03"/>
    <w:rsid w:val="005552B3"/>
    <w:rsid w:val="005577A4"/>
    <w:rsid w:val="005866CA"/>
    <w:rsid w:val="00596C2F"/>
    <w:rsid w:val="005978DF"/>
    <w:rsid w:val="005A0003"/>
    <w:rsid w:val="005A638B"/>
    <w:rsid w:val="005C077A"/>
    <w:rsid w:val="005C2654"/>
    <w:rsid w:val="005C5507"/>
    <w:rsid w:val="005D309D"/>
    <w:rsid w:val="005D58CE"/>
    <w:rsid w:val="005D766A"/>
    <w:rsid w:val="005E0BFA"/>
    <w:rsid w:val="005E0F95"/>
    <w:rsid w:val="005E7FD8"/>
    <w:rsid w:val="005F516B"/>
    <w:rsid w:val="00605AD9"/>
    <w:rsid w:val="006307B0"/>
    <w:rsid w:val="006343F3"/>
    <w:rsid w:val="00637597"/>
    <w:rsid w:val="0064220E"/>
    <w:rsid w:val="00656E4C"/>
    <w:rsid w:val="00665492"/>
    <w:rsid w:val="0066603E"/>
    <w:rsid w:val="006741FD"/>
    <w:rsid w:val="00674B38"/>
    <w:rsid w:val="006770E3"/>
    <w:rsid w:val="0068527B"/>
    <w:rsid w:val="00690433"/>
    <w:rsid w:val="00697544"/>
    <w:rsid w:val="006A0C84"/>
    <w:rsid w:val="006A5846"/>
    <w:rsid w:val="006A68A7"/>
    <w:rsid w:val="006B5432"/>
    <w:rsid w:val="006B5800"/>
    <w:rsid w:val="006C15E4"/>
    <w:rsid w:val="006C367E"/>
    <w:rsid w:val="006C5231"/>
    <w:rsid w:val="006C7195"/>
    <w:rsid w:val="006C7C45"/>
    <w:rsid w:val="006D2532"/>
    <w:rsid w:val="006D6131"/>
    <w:rsid w:val="006D7EEA"/>
    <w:rsid w:val="006E3636"/>
    <w:rsid w:val="006E42FC"/>
    <w:rsid w:val="006E4A7F"/>
    <w:rsid w:val="006E7480"/>
    <w:rsid w:val="006E763D"/>
    <w:rsid w:val="006F2BA8"/>
    <w:rsid w:val="006F3A0B"/>
    <w:rsid w:val="00703FA9"/>
    <w:rsid w:val="00704779"/>
    <w:rsid w:val="00705444"/>
    <w:rsid w:val="00705B7C"/>
    <w:rsid w:val="00720665"/>
    <w:rsid w:val="00720BED"/>
    <w:rsid w:val="007228C7"/>
    <w:rsid w:val="00746B2B"/>
    <w:rsid w:val="0075191F"/>
    <w:rsid w:val="0075254C"/>
    <w:rsid w:val="00770D6B"/>
    <w:rsid w:val="00786626"/>
    <w:rsid w:val="007A4532"/>
    <w:rsid w:val="007B3F2D"/>
    <w:rsid w:val="007B5303"/>
    <w:rsid w:val="007B6754"/>
    <w:rsid w:val="007D1B25"/>
    <w:rsid w:val="007F5BD7"/>
    <w:rsid w:val="007F6E7D"/>
    <w:rsid w:val="007F7565"/>
    <w:rsid w:val="00804375"/>
    <w:rsid w:val="008066CB"/>
    <w:rsid w:val="008134AF"/>
    <w:rsid w:val="0081532D"/>
    <w:rsid w:val="00820BEC"/>
    <w:rsid w:val="008229CB"/>
    <w:rsid w:val="00822BDB"/>
    <w:rsid w:val="00823C25"/>
    <w:rsid w:val="0083193C"/>
    <w:rsid w:val="008412E6"/>
    <w:rsid w:val="0084181F"/>
    <w:rsid w:val="00846E55"/>
    <w:rsid w:val="008566A5"/>
    <w:rsid w:val="0086677B"/>
    <w:rsid w:val="00891045"/>
    <w:rsid w:val="008A04E8"/>
    <w:rsid w:val="008A2492"/>
    <w:rsid w:val="008A7D3C"/>
    <w:rsid w:val="008B1359"/>
    <w:rsid w:val="008B79F5"/>
    <w:rsid w:val="008C5373"/>
    <w:rsid w:val="008D5573"/>
    <w:rsid w:val="008F0092"/>
    <w:rsid w:val="008F4369"/>
    <w:rsid w:val="00903CE3"/>
    <w:rsid w:val="00905E7D"/>
    <w:rsid w:val="0090723C"/>
    <w:rsid w:val="00923E20"/>
    <w:rsid w:val="00926A80"/>
    <w:rsid w:val="00930407"/>
    <w:rsid w:val="0093110D"/>
    <w:rsid w:val="00931FE4"/>
    <w:rsid w:val="00944557"/>
    <w:rsid w:val="00944696"/>
    <w:rsid w:val="00944B90"/>
    <w:rsid w:val="009460B6"/>
    <w:rsid w:val="00946879"/>
    <w:rsid w:val="00961DDE"/>
    <w:rsid w:val="009675F0"/>
    <w:rsid w:val="00967AFA"/>
    <w:rsid w:val="00973D01"/>
    <w:rsid w:val="009779DE"/>
    <w:rsid w:val="00980102"/>
    <w:rsid w:val="00980C56"/>
    <w:rsid w:val="00985C10"/>
    <w:rsid w:val="009A2BF8"/>
    <w:rsid w:val="009A2FE3"/>
    <w:rsid w:val="009B090A"/>
    <w:rsid w:val="009B70D2"/>
    <w:rsid w:val="009C0505"/>
    <w:rsid w:val="009C3D31"/>
    <w:rsid w:val="009D5799"/>
    <w:rsid w:val="009E0F49"/>
    <w:rsid w:val="009E4686"/>
    <w:rsid w:val="009E6894"/>
    <w:rsid w:val="009F5BF8"/>
    <w:rsid w:val="009F715B"/>
    <w:rsid w:val="00A01FE5"/>
    <w:rsid w:val="00A07124"/>
    <w:rsid w:val="00A17229"/>
    <w:rsid w:val="00A17B13"/>
    <w:rsid w:val="00A20049"/>
    <w:rsid w:val="00A609CB"/>
    <w:rsid w:val="00A7339D"/>
    <w:rsid w:val="00A8084E"/>
    <w:rsid w:val="00A83EAB"/>
    <w:rsid w:val="00A92423"/>
    <w:rsid w:val="00A9530B"/>
    <w:rsid w:val="00AA0E42"/>
    <w:rsid w:val="00AA2E85"/>
    <w:rsid w:val="00AA70D1"/>
    <w:rsid w:val="00AB2945"/>
    <w:rsid w:val="00AC0AB5"/>
    <w:rsid w:val="00AC0FA5"/>
    <w:rsid w:val="00AC65F0"/>
    <w:rsid w:val="00AD441E"/>
    <w:rsid w:val="00AE18AC"/>
    <w:rsid w:val="00AE7470"/>
    <w:rsid w:val="00B00A42"/>
    <w:rsid w:val="00B00C36"/>
    <w:rsid w:val="00B03FB2"/>
    <w:rsid w:val="00B124FB"/>
    <w:rsid w:val="00B22BA5"/>
    <w:rsid w:val="00B2625D"/>
    <w:rsid w:val="00B27E41"/>
    <w:rsid w:val="00B307D8"/>
    <w:rsid w:val="00B343B1"/>
    <w:rsid w:val="00B442CE"/>
    <w:rsid w:val="00B46023"/>
    <w:rsid w:val="00B62AC2"/>
    <w:rsid w:val="00B67535"/>
    <w:rsid w:val="00B72A65"/>
    <w:rsid w:val="00B77989"/>
    <w:rsid w:val="00B77C05"/>
    <w:rsid w:val="00B80AFF"/>
    <w:rsid w:val="00B82B58"/>
    <w:rsid w:val="00B90325"/>
    <w:rsid w:val="00B90722"/>
    <w:rsid w:val="00B90A16"/>
    <w:rsid w:val="00B90F80"/>
    <w:rsid w:val="00B92B90"/>
    <w:rsid w:val="00BC1FDE"/>
    <w:rsid w:val="00BE6525"/>
    <w:rsid w:val="00BF3FDE"/>
    <w:rsid w:val="00C0274F"/>
    <w:rsid w:val="00C14C2E"/>
    <w:rsid w:val="00C15FF3"/>
    <w:rsid w:val="00C1723E"/>
    <w:rsid w:val="00C2107C"/>
    <w:rsid w:val="00C277CA"/>
    <w:rsid w:val="00C325A1"/>
    <w:rsid w:val="00C36C7C"/>
    <w:rsid w:val="00C36DB1"/>
    <w:rsid w:val="00C46ACC"/>
    <w:rsid w:val="00C755D0"/>
    <w:rsid w:val="00C767F9"/>
    <w:rsid w:val="00C86D75"/>
    <w:rsid w:val="00C901A5"/>
    <w:rsid w:val="00C904AB"/>
    <w:rsid w:val="00CA185C"/>
    <w:rsid w:val="00CA19BA"/>
    <w:rsid w:val="00CA6370"/>
    <w:rsid w:val="00CB31CA"/>
    <w:rsid w:val="00CB356F"/>
    <w:rsid w:val="00CD05E5"/>
    <w:rsid w:val="00CD5877"/>
    <w:rsid w:val="00CD67B1"/>
    <w:rsid w:val="00CE291A"/>
    <w:rsid w:val="00CE3D6A"/>
    <w:rsid w:val="00CE73C2"/>
    <w:rsid w:val="00CE758E"/>
    <w:rsid w:val="00D15D5B"/>
    <w:rsid w:val="00D2304F"/>
    <w:rsid w:val="00D3027A"/>
    <w:rsid w:val="00D40AE4"/>
    <w:rsid w:val="00D42C60"/>
    <w:rsid w:val="00D43247"/>
    <w:rsid w:val="00D4445E"/>
    <w:rsid w:val="00D51195"/>
    <w:rsid w:val="00D54F08"/>
    <w:rsid w:val="00D624AB"/>
    <w:rsid w:val="00D64E07"/>
    <w:rsid w:val="00D66157"/>
    <w:rsid w:val="00D7233A"/>
    <w:rsid w:val="00D8189E"/>
    <w:rsid w:val="00D8780A"/>
    <w:rsid w:val="00D901D3"/>
    <w:rsid w:val="00D966DC"/>
    <w:rsid w:val="00D968A8"/>
    <w:rsid w:val="00DA1989"/>
    <w:rsid w:val="00DA230D"/>
    <w:rsid w:val="00DA5519"/>
    <w:rsid w:val="00DB7A71"/>
    <w:rsid w:val="00DC6345"/>
    <w:rsid w:val="00DE03E0"/>
    <w:rsid w:val="00DE412B"/>
    <w:rsid w:val="00DF01FD"/>
    <w:rsid w:val="00DF4C89"/>
    <w:rsid w:val="00DF7953"/>
    <w:rsid w:val="00E12872"/>
    <w:rsid w:val="00E14A07"/>
    <w:rsid w:val="00E20F07"/>
    <w:rsid w:val="00E21E7B"/>
    <w:rsid w:val="00E3548E"/>
    <w:rsid w:val="00E36504"/>
    <w:rsid w:val="00E4495B"/>
    <w:rsid w:val="00E45EC2"/>
    <w:rsid w:val="00E47AFD"/>
    <w:rsid w:val="00E5425C"/>
    <w:rsid w:val="00E61036"/>
    <w:rsid w:val="00E64DB0"/>
    <w:rsid w:val="00E70B4B"/>
    <w:rsid w:val="00E724A0"/>
    <w:rsid w:val="00E727BC"/>
    <w:rsid w:val="00E74E7E"/>
    <w:rsid w:val="00E8738B"/>
    <w:rsid w:val="00EA4ADA"/>
    <w:rsid w:val="00EB139D"/>
    <w:rsid w:val="00EB55F8"/>
    <w:rsid w:val="00EC26D7"/>
    <w:rsid w:val="00EC4D70"/>
    <w:rsid w:val="00EC6DD8"/>
    <w:rsid w:val="00EE183A"/>
    <w:rsid w:val="00EE4BF6"/>
    <w:rsid w:val="00EF72CE"/>
    <w:rsid w:val="00F02A1D"/>
    <w:rsid w:val="00F04C22"/>
    <w:rsid w:val="00F06B33"/>
    <w:rsid w:val="00F153BD"/>
    <w:rsid w:val="00F21A7C"/>
    <w:rsid w:val="00F21FB1"/>
    <w:rsid w:val="00F25052"/>
    <w:rsid w:val="00F37272"/>
    <w:rsid w:val="00F41993"/>
    <w:rsid w:val="00F62A4A"/>
    <w:rsid w:val="00F74691"/>
    <w:rsid w:val="00F82413"/>
    <w:rsid w:val="00F82B2C"/>
    <w:rsid w:val="00F83857"/>
    <w:rsid w:val="00F939A2"/>
    <w:rsid w:val="00FB156D"/>
    <w:rsid w:val="00FB40AF"/>
    <w:rsid w:val="00FB4CA6"/>
    <w:rsid w:val="00FD0794"/>
    <w:rsid w:val="00FD0EC6"/>
    <w:rsid w:val="00FD3C2A"/>
    <w:rsid w:val="00FD7156"/>
    <w:rsid w:val="00FE2A4F"/>
    <w:rsid w:val="00FE47EC"/>
    <w:rsid w:val="00FE4A4E"/>
    <w:rsid w:val="00FE509F"/>
    <w:rsid w:val="00FF096C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5D3211"/>
  <w15:docId w15:val="{75EB5CFD-575E-4BB4-A64E-1D41948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F77"/>
  </w:style>
  <w:style w:type="paragraph" w:styleId="Nadpis1">
    <w:name w:val="heading 1"/>
    <w:basedOn w:val="Nadpiskapitoly"/>
    <w:next w:val="Textnormy"/>
    <w:link w:val="Nadpis1Char"/>
    <w:qFormat/>
    <w:rsid w:val="00395F77"/>
    <w:pPr>
      <w:outlineLvl w:val="0"/>
    </w:pPr>
  </w:style>
  <w:style w:type="paragraph" w:styleId="Nadpis2">
    <w:name w:val="heading 2"/>
    <w:basedOn w:val="Nadpislnku"/>
    <w:next w:val="Textnormy"/>
    <w:qFormat/>
    <w:rsid w:val="00395F77"/>
    <w:pPr>
      <w:outlineLvl w:val="1"/>
    </w:pPr>
  </w:style>
  <w:style w:type="paragraph" w:styleId="Nadpis3">
    <w:name w:val="heading 3"/>
    <w:basedOn w:val="Nadpislnku"/>
    <w:next w:val="Textnormy"/>
    <w:qFormat/>
    <w:rsid w:val="00395F77"/>
    <w:pPr>
      <w:outlineLvl w:val="2"/>
    </w:pPr>
  </w:style>
  <w:style w:type="paragraph" w:styleId="Nadpis4">
    <w:name w:val="heading 4"/>
    <w:basedOn w:val="Nadpislnku"/>
    <w:next w:val="Textnormy"/>
    <w:qFormat/>
    <w:rsid w:val="00395F77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395F77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395F77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395F77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395F77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395F77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395F7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95F77"/>
  </w:style>
  <w:style w:type="paragraph" w:customStyle="1" w:styleId="Nadpiskapitoly">
    <w:name w:val="Nadpis kapitoly"/>
    <w:basedOn w:val="Nadpislnku"/>
    <w:next w:val="Textnormy"/>
    <w:rsid w:val="00395F77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395F77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395F77"/>
    <w:pPr>
      <w:spacing w:after="120"/>
      <w:jc w:val="both"/>
    </w:pPr>
  </w:style>
  <w:style w:type="paragraph" w:customStyle="1" w:styleId="1StrTrZn">
    <w:name w:val="1StrTrZn"/>
    <w:basedOn w:val="Textnormy"/>
    <w:rsid w:val="00395F77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395F77"/>
    <w:pPr>
      <w:spacing w:before="480"/>
    </w:pPr>
  </w:style>
  <w:style w:type="paragraph" w:customStyle="1" w:styleId="1StrNN-1-23">
    <w:name w:val="1StrNN-1-23"/>
    <w:basedOn w:val="Textnormy"/>
    <w:rsid w:val="00395F77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395F77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395F77"/>
    <w:pPr>
      <w:numPr>
        <w:numId w:val="4"/>
      </w:numPr>
      <w:ind w:left="284" w:hanging="284"/>
    </w:pPr>
  </w:style>
  <w:style w:type="paragraph" w:styleId="Rejstk1">
    <w:name w:val="index 1"/>
    <w:basedOn w:val="Textnormy"/>
    <w:next w:val="Textnormy"/>
    <w:rsid w:val="00395F77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395F77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395F77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395F77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395F77"/>
    <w:pPr>
      <w:spacing w:before="0" w:after="120"/>
      <w:ind w:left="284" w:hanging="284"/>
    </w:pPr>
  </w:style>
  <w:style w:type="paragraph" w:styleId="Zhlav">
    <w:name w:val="header"/>
    <w:basedOn w:val="Textnormy"/>
    <w:rsid w:val="00395F77"/>
    <w:pPr>
      <w:spacing w:after="360"/>
    </w:pPr>
    <w:rPr>
      <w:sz w:val="18"/>
    </w:rPr>
  </w:style>
  <w:style w:type="paragraph" w:styleId="Zpat">
    <w:name w:val="footer"/>
    <w:basedOn w:val="Textnormy"/>
    <w:rsid w:val="00395F77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395F77"/>
    <w:pPr>
      <w:spacing w:after="120"/>
    </w:pPr>
  </w:style>
  <w:style w:type="paragraph" w:styleId="Obsah2">
    <w:name w:val="toc 2"/>
    <w:basedOn w:val="Obsah1"/>
    <w:next w:val="Textnormy"/>
    <w:uiPriority w:val="39"/>
    <w:rsid w:val="00395F77"/>
  </w:style>
  <w:style w:type="paragraph" w:styleId="Obsah1">
    <w:name w:val="toc 1"/>
    <w:basedOn w:val="Textnormy"/>
    <w:next w:val="Textnormy"/>
    <w:uiPriority w:val="39"/>
    <w:rsid w:val="00395F77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395F77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395F77"/>
  </w:style>
  <w:style w:type="paragraph" w:styleId="Obsah4">
    <w:name w:val="toc 4"/>
    <w:basedOn w:val="Obsah1"/>
    <w:next w:val="Textnormy"/>
    <w:uiPriority w:val="39"/>
    <w:rsid w:val="00395F77"/>
  </w:style>
  <w:style w:type="paragraph" w:styleId="Obsah6">
    <w:name w:val="toc 6"/>
    <w:basedOn w:val="Obsah1"/>
    <w:next w:val="Textnormy"/>
    <w:semiHidden/>
    <w:rsid w:val="00395F77"/>
  </w:style>
  <w:style w:type="paragraph" w:styleId="Obsah7">
    <w:name w:val="toc 7"/>
    <w:basedOn w:val="Obsah1"/>
    <w:next w:val="Textnormy"/>
    <w:semiHidden/>
    <w:rsid w:val="00395F77"/>
  </w:style>
  <w:style w:type="paragraph" w:styleId="Obsah8">
    <w:name w:val="toc 8"/>
    <w:basedOn w:val="Obsah1"/>
    <w:next w:val="Textnormy"/>
    <w:semiHidden/>
    <w:rsid w:val="00395F77"/>
  </w:style>
  <w:style w:type="character" w:styleId="Znakapoznpodarou">
    <w:name w:val="footnote reference"/>
    <w:basedOn w:val="Standardnpsmoodstavce"/>
    <w:rsid w:val="00395F77"/>
    <w:rPr>
      <w:vertAlign w:val="superscript"/>
    </w:rPr>
  </w:style>
  <w:style w:type="paragraph" w:customStyle="1" w:styleId="ABCseznamCZ">
    <w:name w:val="ABC seznamCZ"/>
    <w:basedOn w:val="Textnormy"/>
    <w:rsid w:val="00395F77"/>
    <w:pPr>
      <w:numPr>
        <w:numId w:val="9"/>
      </w:numPr>
    </w:pPr>
  </w:style>
  <w:style w:type="paragraph" w:customStyle="1" w:styleId="slovanseznamvnorm">
    <w:name w:val="Číslovaný seznam v normě"/>
    <w:basedOn w:val="Textnormy"/>
    <w:rsid w:val="00395F77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395F77"/>
    <w:pPr>
      <w:numPr>
        <w:numId w:val="6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395F77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395F77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395F77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395F77"/>
    <w:pPr>
      <w:ind w:left="1600"/>
    </w:pPr>
  </w:style>
  <w:style w:type="paragraph" w:customStyle="1" w:styleId="1Str1Rad">
    <w:name w:val="1Str1Rad"/>
    <w:basedOn w:val="Textnormy"/>
    <w:rsid w:val="00395F77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395F77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395F77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395F77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395F77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395F77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395F77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395F77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395F77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395F77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395F77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395F77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395F77"/>
    <w:pPr>
      <w:spacing w:before="300"/>
    </w:pPr>
  </w:style>
  <w:style w:type="paragraph" w:customStyle="1" w:styleId="1StrNN-X">
    <w:name w:val="1StrNN-X"/>
    <w:basedOn w:val="1StrNN-1-23"/>
    <w:rsid w:val="00395F77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395F77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395F77"/>
    <w:pPr>
      <w:spacing w:before="800"/>
    </w:pPr>
  </w:style>
  <w:style w:type="paragraph" w:customStyle="1" w:styleId="1StrNN-2-4">
    <w:name w:val="1StrNN-2-4"/>
    <w:basedOn w:val="1StrNN-1-23"/>
    <w:rsid w:val="00395F77"/>
  </w:style>
  <w:style w:type="paragraph" w:customStyle="1" w:styleId="1StrNN-3-4">
    <w:name w:val="1StrNN-3-4"/>
    <w:basedOn w:val="1StrNN-1-23"/>
    <w:rsid w:val="00395F77"/>
    <w:pPr>
      <w:spacing w:before="460"/>
    </w:pPr>
  </w:style>
  <w:style w:type="paragraph" w:customStyle="1" w:styleId="1StrNN-4-4">
    <w:name w:val="1StrNN-4-4"/>
    <w:basedOn w:val="1StrNN-1-23"/>
    <w:rsid w:val="00395F77"/>
    <w:pPr>
      <w:spacing w:before="340"/>
    </w:pPr>
  </w:style>
  <w:style w:type="paragraph" w:customStyle="1" w:styleId="ABCSeznamUS">
    <w:name w:val="ABC SeznamUS"/>
    <w:basedOn w:val="Textnormy"/>
    <w:rsid w:val="00395F77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395F77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395F77"/>
    <w:pPr>
      <w:jc w:val="left"/>
    </w:pPr>
  </w:style>
  <w:style w:type="paragraph" w:customStyle="1" w:styleId="1StrNN-4-3">
    <w:name w:val="1StrNN-4-3"/>
    <w:basedOn w:val="1StrNN-1-23"/>
    <w:rsid w:val="00395F77"/>
    <w:pPr>
      <w:spacing w:before="160"/>
    </w:pPr>
  </w:style>
  <w:style w:type="paragraph" w:customStyle="1" w:styleId="Upozornn">
    <w:name w:val="Upozornění"/>
    <w:basedOn w:val="Normln"/>
    <w:rsid w:val="00395F77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395F77"/>
  </w:style>
  <w:style w:type="character" w:styleId="Odkaznakoment">
    <w:name w:val="annotation reference"/>
    <w:basedOn w:val="Standardnpsmoodstavce"/>
    <w:unhideWhenUsed/>
    <w:rsid w:val="00395F7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95F77"/>
  </w:style>
  <w:style w:type="character" w:customStyle="1" w:styleId="TextkomenteChar">
    <w:name w:val="Text komentáře Char"/>
    <w:basedOn w:val="Standardnpsmoodstavce"/>
    <w:link w:val="Textkomente"/>
    <w:rsid w:val="00395F77"/>
  </w:style>
  <w:style w:type="paragraph" w:styleId="Textbubliny">
    <w:name w:val="Balloon Text"/>
    <w:basedOn w:val="Normln"/>
    <w:semiHidden/>
    <w:rsid w:val="00395F7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95F77"/>
    <w:rPr>
      <w:b/>
      <w:sz w:val="24"/>
    </w:rPr>
  </w:style>
  <w:style w:type="character" w:customStyle="1" w:styleId="TextnormyCharChar">
    <w:name w:val="Text normy Char Char"/>
    <w:semiHidden/>
    <w:rsid w:val="00395F77"/>
    <w:rPr>
      <w:rFonts w:ascii="Arial" w:hAnsi="Arial"/>
      <w:noProof w:val="0"/>
      <w:lang w:val="cs-CZ" w:eastAsia="cs-CZ" w:bidi="ar-SA"/>
    </w:rPr>
  </w:style>
  <w:style w:type="character" w:styleId="Hypertextovodkaz">
    <w:name w:val="Hyperlink"/>
    <w:unhideWhenUsed/>
    <w:rsid w:val="00395F77"/>
    <w:rPr>
      <w:color w:val="0000FF"/>
      <w:u w:val="single"/>
    </w:rPr>
  </w:style>
  <w:style w:type="table" w:styleId="Mkatabulky">
    <w:name w:val="Table Grid"/>
    <w:basedOn w:val="Normlntabulka"/>
    <w:rsid w:val="0039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semiHidden/>
    <w:rsid w:val="00395F7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5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95F77"/>
    <w:rPr>
      <w:b/>
      <w:bCs/>
    </w:rPr>
  </w:style>
  <w:style w:type="character" w:customStyle="1" w:styleId="NadpislnkuChar">
    <w:name w:val="Nadpis článku Char"/>
    <w:link w:val="Nadpislnku"/>
    <w:rsid w:val="00395F77"/>
    <w:rPr>
      <w:b/>
    </w:rPr>
  </w:style>
  <w:style w:type="character" w:styleId="Sledovanodkaz">
    <w:name w:val="FollowedHyperlink"/>
    <w:basedOn w:val="Standardnpsmoodstavce"/>
    <w:semiHidden/>
    <w:unhideWhenUsed/>
    <w:rsid w:val="00395F77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395F77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395F77"/>
    <w:pPr>
      <w:jc w:val="center"/>
    </w:pPr>
  </w:style>
  <w:style w:type="paragraph" w:customStyle="1" w:styleId="NadpisTabObr">
    <w:name w:val="NadpisTabObr"/>
    <w:basedOn w:val="Nadpislnku"/>
    <w:next w:val="Textnormy"/>
    <w:rsid w:val="00417357"/>
    <w:pPr>
      <w:keepNext w:val="0"/>
      <w:spacing w:before="120"/>
      <w:jc w:val="center"/>
    </w:pPr>
  </w:style>
  <w:style w:type="paragraph" w:styleId="Revize">
    <w:name w:val="Revision"/>
    <w:hidden/>
    <w:uiPriority w:val="99"/>
    <w:semiHidden/>
    <w:rsid w:val="0023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store.iec.ch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228C-5B94-48A0-9361-CB5F71E0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0</TotalTime>
  <Pages>6</Pages>
  <Words>1411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ČESKÁ TECHNICKÁ NORMA</vt:lpstr>
      <vt:lpstr>Evropská předmluva</vt:lpstr>
      <vt:lpstr>2 Citované dokumenty</vt:lpstr>
      <vt:lpstr>Příloha ZZ (informativní)</vt:lpstr>
      <vt:lpstr>Vztah mezi touto evropskou normou a bezpečnostními cíli směrnice 2014/35/EU  [20</vt:lpstr>
    </vt:vector>
  </TitlesOfParts>
  <Company>ÚNMZ</Company>
  <LinksUpToDate>false</LinksUpToDate>
  <CharactersWithSpaces>9720</CharactersWithSpaces>
  <SharedDoc>false</SharedDoc>
  <HLinks>
    <vt:vector size="12" baseType="variant">
      <vt:variant>
        <vt:i4>6488174</vt:i4>
      </vt:variant>
      <vt:variant>
        <vt:i4>51</vt:i4>
      </vt:variant>
      <vt:variant>
        <vt:i4>0</vt:i4>
      </vt:variant>
      <vt:variant>
        <vt:i4>5</vt:i4>
      </vt:variant>
      <vt:variant>
        <vt:lpwstr>http://www.cenelec.eu/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http://webstore.iec.ch/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creator>Petr</dc:creator>
  <cp:lastModifiedBy>Koutská Miloslava</cp:lastModifiedBy>
  <cp:revision>2</cp:revision>
  <cp:lastPrinted>2017-12-29T07:24:00Z</cp:lastPrinted>
  <dcterms:created xsi:type="dcterms:W3CDTF">2020-03-11T07:16:00Z</dcterms:created>
  <dcterms:modified xsi:type="dcterms:W3CDTF">2020-03-11T07:16:00Z</dcterms:modified>
</cp:coreProperties>
</file>