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5CFB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866BE3">
        <w:rPr>
          <w:sz w:val="16"/>
        </w:rPr>
        <w:t>25.160.30</w:t>
      </w:r>
      <w:r>
        <w:tab/>
      </w:r>
      <w:r>
        <w:tab/>
      </w:r>
      <w:r>
        <w:rPr>
          <w:b/>
        </w:rPr>
        <w:t xml:space="preserve">Měsíc </w:t>
      </w:r>
      <w:r w:rsidR="00866BE3">
        <w:rPr>
          <w:b/>
        </w:rPr>
        <w:t>Rok</w:t>
      </w:r>
    </w:p>
    <w:tbl>
      <w:tblPr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 w:rsidTr="00866BE3">
        <w:trPr>
          <w:cantSplit/>
          <w:trHeight w:val="1701"/>
        </w:trPr>
        <w:tc>
          <w:tcPr>
            <w:tcW w:w="7371" w:type="dxa"/>
          </w:tcPr>
          <w:p w:rsidR="00A83EAB" w:rsidRDefault="00866BE3" w:rsidP="00837634">
            <w:pPr>
              <w:pStyle w:val="1StrNN-2-4"/>
            </w:pPr>
            <w:r w:rsidRPr="009A3FAC">
              <w:t xml:space="preserve">Zařízení pro obloukové svařování </w:t>
            </w:r>
            <w:r>
              <w:t>–</w:t>
            </w:r>
            <w:r>
              <w:br/>
            </w:r>
            <w:r w:rsidRPr="009A3FAC">
              <w:t>Část 1: Zdroje svařovacího proudu</w:t>
            </w:r>
          </w:p>
        </w:tc>
        <w:tc>
          <w:tcPr>
            <w:tcW w:w="2552" w:type="dxa"/>
          </w:tcPr>
          <w:p w:rsidR="00A83EAB" w:rsidRPr="00666FAF" w:rsidRDefault="00866BE3">
            <w:pPr>
              <w:pStyle w:val="1StrCN"/>
            </w:pPr>
            <w:r w:rsidRPr="004F05BC">
              <w:t>ČSN</w:t>
            </w:r>
            <w:r>
              <w:br/>
              <w:t>EN IEC 60974-1</w:t>
            </w:r>
            <w:r>
              <w:br/>
            </w:r>
            <w:r w:rsidRPr="00450C95">
              <w:rPr>
                <w:b w:val="0"/>
                <w:sz w:val="28"/>
                <w:szCs w:val="28"/>
              </w:rPr>
              <w:t>ed. 5</w:t>
            </w:r>
            <w:r>
              <w:rPr>
                <w:b w:val="0"/>
              </w:rPr>
              <w:br/>
            </w:r>
            <w:r w:rsidRPr="003E4BB9">
              <w:t>ZMĚNA A1</w:t>
            </w:r>
          </w:p>
          <w:p w:rsidR="00A83EAB" w:rsidRDefault="00866BE3">
            <w:pPr>
              <w:pStyle w:val="1StrTrZn"/>
            </w:pPr>
            <w:r>
              <w:t>05</w:t>
            </w:r>
            <w:r w:rsidRPr="004F05BC">
              <w:t> </w:t>
            </w:r>
            <w:r>
              <w:t>2205</w:t>
            </w:r>
          </w:p>
        </w:tc>
      </w:tr>
    </w:tbl>
    <w:p w:rsidR="00A83EAB" w:rsidRDefault="00866BE3">
      <w:pPr>
        <w:pStyle w:val="Shodnost"/>
      </w:pPr>
      <w:r>
        <w:t>idt</w:t>
      </w:r>
      <w:r w:rsidRPr="004F05BC">
        <w:t xml:space="preserve"> IEC </w:t>
      </w:r>
      <w:r>
        <w:t>60974-1:20</w:t>
      </w:r>
      <w:r w:rsidRPr="004F05BC">
        <w:t>1</w:t>
      </w:r>
      <w:r>
        <w:t>7/A1:2019</w:t>
      </w:r>
    </w:p>
    <w:p w:rsidR="00866BE3" w:rsidRPr="009A3FAC" w:rsidRDefault="00866BE3" w:rsidP="00866BE3">
      <w:pPr>
        <w:pStyle w:val="Cizojazynnzev"/>
        <w:rPr>
          <w:lang w:val="cs-CZ"/>
        </w:rPr>
      </w:pPr>
      <w:r w:rsidRPr="009A3FAC">
        <w:rPr>
          <w:lang w:val="cs-CZ"/>
        </w:rPr>
        <w:t>Amendment</w:t>
      </w:r>
    </w:p>
    <w:p w:rsidR="00866BE3" w:rsidRPr="009A3FAC" w:rsidRDefault="00866BE3" w:rsidP="00866BE3">
      <w:pPr>
        <w:pStyle w:val="Cizojazynnzev"/>
        <w:rPr>
          <w:lang w:val="cs-CZ"/>
        </w:rPr>
      </w:pPr>
      <w:r w:rsidRPr="009A3FAC">
        <w:rPr>
          <w:lang w:val="cs-CZ"/>
        </w:rPr>
        <w:t>Amendement</w:t>
      </w:r>
    </w:p>
    <w:p w:rsidR="00866BE3" w:rsidRPr="009A3FAC" w:rsidRDefault="00866BE3" w:rsidP="00866BE3">
      <w:pPr>
        <w:pStyle w:val="Cizojazynnzev"/>
        <w:spacing w:after="840"/>
        <w:rPr>
          <w:lang w:val="cs-CZ"/>
        </w:rPr>
      </w:pPr>
      <w:r w:rsidRPr="009A3FAC">
        <w:rPr>
          <w:lang w:val="cs-CZ"/>
        </w:rPr>
        <w:t>Änderung</w:t>
      </w:r>
    </w:p>
    <w:p w:rsidR="00866BE3" w:rsidRPr="004F05BC" w:rsidRDefault="00866BE3" w:rsidP="00866BE3">
      <w:pPr>
        <w:pStyle w:val="Textnormy"/>
      </w:pPr>
      <w:r w:rsidRPr="004F05BC">
        <w:t xml:space="preserve">Tato </w:t>
      </w:r>
      <w:r>
        <w:t xml:space="preserve">změna ČSN EN IEC 60794-1 ed. 5:2019 </w:t>
      </w:r>
      <w:r w:rsidRPr="004F05BC">
        <w:t xml:space="preserve">je českou verzí </w:t>
      </w:r>
      <w:r>
        <w:t xml:space="preserve">změny </w:t>
      </w:r>
      <w:r w:rsidRPr="004F05BC">
        <w:t>EN </w:t>
      </w:r>
      <w:r>
        <w:t>IEC 60794-1</w:t>
      </w:r>
      <w:r w:rsidRPr="004F05BC">
        <w:t>:20</w:t>
      </w:r>
      <w:r>
        <w:t>18/A1:2019</w:t>
      </w:r>
      <w:r w:rsidRPr="004F05BC">
        <w:t xml:space="preserve">. </w:t>
      </w:r>
      <w:r w:rsidRPr="004F17AE">
        <w:t>Překlad byl zajištěn Českou agenturou pro standardizaci.</w:t>
      </w:r>
      <w:r w:rsidRPr="004F05BC">
        <w:t xml:space="preserve"> Má stejný status jako oficiální verze.</w:t>
      </w:r>
    </w:p>
    <w:p w:rsidR="00866BE3" w:rsidRPr="004F05BC" w:rsidRDefault="00866BE3" w:rsidP="00866BE3">
      <w:pPr>
        <w:pStyle w:val="Textnormy1str"/>
      </w:pPr>
      <w:r w:rsidRPr="00F8212F">
        <w:rPr>
          <w:lang w:val="en-GB"/>
        </w:rPr>
        <w:t>This Amendment to</w:t>
      </w:r>
      <w:r>
        <w:rPr>
          <w:lang w:val="en-GB"/>
        </w:rPr>
        <w:t xml:space="preserve"> </w:t>
      </w:r>
      <w:r>
        <w:t xml:space="preserve">ČSN EN IEC 60794-1 ed. 5:2019 </w:t>
      </w:r>
      <w:r w:rsidRPr="00F8212F">
        <w:rPr>
          <w:spacing w:val="-7"/>
          <w:lang w:val="en-GB"/>
        </w:rPr>
        <w:t xml:space="preserve">is the Czech </w:t>
      </w:r>
      <w:r w:rsidRPr="00F8212F">
        <w:rPr>
          <w:lang w:val="en-GB"/>
        </w:rPr>
        <w:t>version of the Amendment</w:t>
      </w:r>
      <w:r>
        <w:t xml:space="preserve"> </w:t>
      </w:r>
      <w:r>
        <w:br/>
      </w:r>
      <w:r w:rsidRPr="004F05BC">
        <w:t>EN </w:t>
      </w:r>
      <w:r>
        <w:t>IEC 60794-1</w:t>
      </w:r>
      <w:r w:rsidRPr="004F05BC">
        <w:t>:20</w:t>
      </w:r>
      <w:r>
        <w:t>18/A1:2019</w:t>
      </w:r>
      <w:r w:rsidRPr="004F05BC">
        <w:t xml:space="preserve">. </w:t>
      </w:r>
      <w:r w:rsidRPr="004F17AE">
        <w:rPr>
          <w:lang w:val="en-GB"/>
        </w:rPr>
        <w:t>It was translated by the Czech Standardization Agency.</w:t>
      </w:r>
      <w:r w:rsidRPr="004F05BC">
        <w:rPr>
          <w:lang w:val="en-GB"/>
        </w:rPr>
        <w:t xml:space="preserve"> It has the same status as the official version.</w:t>
      </w:r>
    </w:p>
    <w:p w:rsidR="00866BE3" w:rsidRPr="00F8212F" w:rsidRDefault="00866BE3" w:rsidP="00866BE3">
      <w:pPr>
        <w:pStyle w:val="Nadpiskapitoly"/>
      </w:pPr>
      <w:r w:rsidRPr="00F8212F">
        <w:t>Národní předmluva</w:t>
      </w:r>
    </w:p>
    <w:p w:rsidR="00866BE3" w:rsidRPr="004F05BC" w:rsidRDefault="00866BE3" w:rsidP="00866BE3">
      <w:pPr>
        <w:pStyle w:val="Nadpislnku"/>
      </w:pPr>
      <w:r w:rsidRPr="00F8212F">
        <w:t>Informativní údaje z</w:t>
      </w:r>
      <w:r>
        <w:t> IEC 60974-1:2017/AMD1:2019</w:t>
      </w:r>
    </w:p>
    <w:p w:rsidR="00866BE3" w:rsidRDefault="00866BE3" w:rsidP="00866BE3">
      <w:pPr>
        <w:pStyle w:val="Textnormy"/>
      </w:pPr>
      <w:r w:rsidRPr="00F8212F">
        <w:t>T</w:t>
      </w:r>
      <w:r>
        <w:t>u</w:t>
      </w:r>
      <w:r w:rsidRPr="00F8212F">
        <w:t>to změn</w:t>
      </w:r>
      <w:r>
        <w:t>u</w:t>
      </w:r>
      <w:r w:rsidRPr="00F8212F">
        <w:t xml:space="preserve"> </w:t>
      </w:r>
      <w:r>
        <w:t>vypracovala</w:t>
      </w:r>
      <w:r w:rsidRPr="00F8212F">
        <w:t xml:space="preserve"> technick</w:t>
      </w:r>
      <w:r>
        <w:t>á</w:t>
      </w:r>
      <w:r w:rsidRPr="00F8212F">
        <w:t xml:space="preserve"> komis</w:t>
      </w:r>
      <w:r>
        <w:t>e</w:t>
      </w:r>
      <w:r w:rsidRPr="00F8212F">
        <w:t xml:space="preserve"> IEC</w:t>
      </w:r>
      <w:r>
        <w:t>/TC 26</w:t>
      </w:r>
      <w:r>
        <w:rPr>
          <w:i/>
        </w:rPr>
        <w:t xml:space="preserve"> Elektrické svařování</w:t>
      </w:r>
      <w:r w:rsidRPr="00F8212F">
        <w:t>.</w:t>
      </w:r>
    </w:p>
    <w:p w:rsidR="00866BE3" w:rsidRPr="003555EC" w:rsidRDefault="00866BE3" w:rsidP="00666FAF">
      <w:pPr>
        <w:pStyle w:val="Textnormy"/>
        <w:spacing w:after="240"/>
      </w:pPr>
      <w:r w:rsidRPr="003555EC">
        <w:t>Text této změny se zakládá na těchto dokumentech: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866BE3" w:rsidRPr="00F8212F" w:rsidTr="00C7234C">
        <w:trPr>
          <w:jc w:val="center"/>
        </w:trPr>
        <w:tc>
          <w:tcPr>
            <w:tcW w:w="2268" w:type="dxa"/>
          </w:tcPr>
          <w:p w:rsidR="00866BE3" w:rsidRPr="00F8212F" w:rsidRDefault="00866BE3" w:rsidP="00C7234C">
            <w:pPr>
              <w:pStyle w:val="Texttabulky"/>
              <w:jc w:val="center"/>
            </w:pPr>
            <w:r>
              <w:t>CDV</w:t>
            </w:r>
          </w:p>
        </w:tc>
        <w:tc>
          <w:tcPr>
            <w:tcW w:w="2268" w:type="dxa"/>
          </w:tcPr>
          <w:p w:rsidR="00866BE3" w:rsidRPr="00F8212F" w:rsidRDefault="00866BE3" w:rsidP="00C7234C">
            <w:pPr>
              <w:pStyle w:val="Texttabulky"/>
              <w:jc w:val="center"/>
            </w:pPr>
            <w:r w:rsidRPr="00F8212F">
              <w:t>Zpráva o hlasování</w:t>
            </w:r>
          </w:p>
        </w:tc>
      </w:tr>
      <w:tr w:rsidR="00866BE3" w:rsidRPr="00F8212F" w:rsidTr="00C7234C">
        <w:trPr>
          <w:jc w:val="center"/>
        </w:trPr>
        <w:tc>
          <w:tcPr>
            <w:tcW w:w="2268" w:type="dxa"/>
          </w:tcPr>
          <w:p w:rsidR="00866BE3" w:rsidRPr="00F8212F" w:rsidRDefault="00866BE3" w:rsidP="00C7234C">
            <w:pPr>
              <w:pStyle w:val="Texttabulky"/>
              <w:jc w:val="center"/>
            </w:pPr>
            <w:r>
              <w:t>26/653/CDV</w:t>
            </w:r>
          </w:p>
        </w:tc>
        <w:tc>
          <w:tcPr>
            <w:tcW w:w="2268" w:type="dxa"/>
          </w:tcPr>
          <w:p w:rsidR="00866BE3" w:rsidRPr="00F8212F" w:rsidRDefault="00866BE3" w:rsidP="00C7234C">
            <w:pPr>
              <w:pStyle w:val="Texttabulky"/>
              <w:jc w:val="center"/>
            </w:pPr>
            <w:r>
              <w:t>26/669/RVC</w:t>
            </w:r>
          </w:p>
        </w:tc>
      </w:tr>
    </w:tbl>
    <w:p w:rsidR="00866BE3" w:rsidRPr="00666FAF" w:rsidRDefault="00866BE3" w:rsidP="00666FAF">
      <w:pPr>
        <w:pStyle w:val="Textnormy"/>
        <w:spacing w:before="240"/>
      </w:pPr>
      <w:r w:rsidRPr="00666FAF">
        <w:t>Úplnou informaci o hlasování při schvalování této změny lze najít ve zprávě o hlasování ve výše uvedené tabulce.</w:t>
      </w:r>
    </w:p>
    <w:p w:rsidR="00866BE3" w:rsidRPr="003C07C2" w:rsidRDefault="00866BE3" w:rsidP="00866BE3">
      <w:pPr>
        <w:pStyle w:val="Textnormy"/>
      </w:pPr>
      <w:r w:rsidRPr="003C07C2">
        <w:t>Komise rozhodla, že obsah této změny a základní publikace zůstane nezměněn až do data příští prověrky (stability date) uvedeného na webových stránkách IEC (</w:t>
      </w:r>
      <w:hyperlink r:id="rId7" w:history="1">
        <w:r w:rsidRPr="003C07C2">
          <w:rPr>
            <w:u w:val="single"/>
          </w:rPr>
          <w:t>http://webstore.iec.ch</w:t>
        </w:r>
      </w:hyperlink>
      <w:r w:rsidRPr="003C07C2">
        <w:t>) v údajích o této publikaci. K tomuto datu bude publikace buď</w:t>
      </w:r>
    </w:p>
    <w:p w:rsidR="00866BE3" w:rsidRPr="00F8212F" w:rsidRDefault="00866BE3" w:rsidP="00866BE3">
      <w:pPr>
        <w:pStyle w:val="Seznamvnorm"/>
      </w:pPr>
      <w:r w:rsidRPr="00F8212F">
        <w:t>znovu potvrzena;</w:t>
      </w:r>
    </w:p>
    <w:p w:rsidR="00866BE3" w:rsidRPr="00F8212F" w:rsidRDefault="00866BE3" w:rsidP="00866BE3">
      <w:pPr>
        <w:pStyle w:val="Seznamvnorm"/>
      </w:pPr>
      <w:r w:rsidRPr="00F8212F">
        <w:t>zrušena;</w:t>
      </w:r>
    </w:p>
    <w:p w:rsidR="00866BE3" w:rsidRPr="00F8212F" w:rsidRDefault="00866BE3" w:rsidP="00866BE3">
      <w:pPr>
        <w:pStyle w:val="Seznamvnorm"/>
      </w:pPr>
      <w:r w:rsidRPr="00F8212F">
        <w:t>nahrazena revidovaným vydáním</w:t>
      </w:r>
      <w:r>
        <w:t>,</w:t>
      </w:r>
      <w:r w:rsidRPr="00F8212F">
        <w:t xml:space="preserve"> nebo</w:t>
      </w:r>
    </w:p>
    <w:p w:rsidR="00866BE3" w:rsidRPr="00F8212F" w:rsidRDefault="00866BE3" w:rsidP="00866BE3">
      <w:pPr>
        <w:pStyle w:val="Seznamvnorm"/>
      </w:pPr>
      <w:r w:rsidRPr="00F8212F">
        <w:t>změněna.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A71E72" w:rsidRPr="005F179D" w:rsidRDefault="00A71E72" w:rsidP="00A71E72">
      <w:pPr>
        <w:pStyle w:val="Nadpislnku"/>
        <w:spacing w:before="0"/>
      </w:pPr>
      <w:r w:rsidRPr="005F179D">
        <w:lastRenderedPageBreak/>
        <w:t>Vypracování změny normy</w:t>
      </w:r>
    </w:p>
    <w:p w:rsidR="00A71E72" w:rsidRPr="00A074BC" w:rsidRDefault="00A71E72" w:rsidP="00A71E72">
      <w:pPr>
        <w:pStyle w:val="Textnormy"/>
      </w:pPr>
      <w:r w:rsidRPr="00A074BC">
        <w:t>Zpracovatel: Česká agentura pro standardizaci, IČO 06578705</w:t>
      </w:r>
    </w:p>
    <w:p w:rsidR="00A71E72" w:rsidRPr="00A074BC" w:rsidRDefault="00A71E72" w:rsidP="00A71E72">
      <w:pPr>
        <w:pStyle w:val="Textnormy"/>
      </w:pPr>
      <w:r w:rsidRPr="00A074BC">
        <w:t>Technická normalizační komise: TNK 70 Svařování</w:t>
      </w:r>
    </w:p>
    <w:p w:rsidR="00A71E72" w:rsidRPr="00A074BC" w:rsidRDefault="00A71E72" w:rsidP="00A71E72">
      <w:pPr>
        <w:pStyle w:val="Textnormy"/>
      </w:pPr>
      <w:r w:rsidRPr="00A074BC">
        <w:t>Pracovník České agentury pro standardizaci: Ing. Pavel Vojík</w:t>
      </w:r>
    </w:p>
    <w:p w:rsidR="00A71E72" w:rsidRDefault="00A71E72" w:rsidP="00A71E72">
      <w:pPr>
        <w:pStyle w:val="Textnormy"/>
      </w:pPr>
      <w:r w:rsidRPr="00A074BC">
        <w:t>Česká agentura pro standardizaci je státní příspěvková organizace zřízená Úřadem pro technickou normalizaci, metrologii a státní zkušebnictví na základě ustanovení § 5 odst. 2 zákona č. 22/1997 Sb., o technických požadavcích na výrobky a o změně a doplnění některých zákonů, ve znění pozdějších předpisů.</w:t>
      </w:r>
    </w:p>
    <w:p w:rsidR="00866BE3" w:rsidRPr="004F05BC" w:rsidRDefault="00866BE3" w:rsidP="00666FAF">
      <w:pPr>
        <w:pStyle w:val="EvropNorma"/>
        <w:tabs>
          <w:tab w:val="clear" w:pos="8505"/>
          <w:tab w:val="left" w:pos="7088"/>
        </w:tabs>
        <w:rPr>
          <w:kern w:val="0"/>
        </w:rPr>
      </w:pPr>
      <w:r>
        <w:rPr>
          <w:kern w:val="0"/>
        </w:rPr>
        <w:lastRenderedPageBreak/>
        <w:t>EVROPS</w:t>
      </w:r>
      <w:r w:rsidR="00666FAF">
        <w:rPr>
          <w:kern w:val="0"/>
        </w:rPr>
        <w:t>KÁ NORMA</w:t>
      </w:r>
      <w:r w:rsidR="00666FAF">
        <w:rPr>
          <w:kern w:val="0"/>
        </w:rPr>
        <w:tab/>
        <w:t>EN IEC 60974-1:2018/A1</w:t>
      </w:r>
      <w:r>
        <w:rPr>
          <w:kern w:val="0"/>
        </w:rPr>
        <w:br/>
        <w:t>EUROPEAN STANDARD</w:t>
      </w:r>
      <w:r w:rsidRPr="004F05BC">
        <w:rPr>
          <w:b w:val="0"/>
          <w:kern w:val="0"/>
          <w:sz w:val="20"/>
        </w:rPr>
        <w:br/>
      </w:r>
      <w:r w:rsidRPr="004F05BC">
        <w:rPr>
          <w:kern w:val="0"/>
        </w:rPr>
        <w:t>NORME EUROPÉENNE</w:t>
      </w:r>
      <w:r w:rsidRPr="004F05BC">
        <w:rPr>
          <w:kern w:val="0"/>
        </w:rPr>
        <w:br/>
        <w:t>EUROPÄISCHE NORM</w:t>
      </w:r>
      <w:r w:rsidRPr="000B40AD">
        <w:rPr>
          <w:b w:val="0"/>
          <w:kern w:val="0"/>
          <w:sz w:val="20"/>
        </w:rPr>
        <w:t xml:space="preserve"> </w:t>
      </w:r>
      <w:r>
        <w:rPr>
          <w:b w:val="0"/>
          <w:kern w:val="0"/>
          <w:sz w:val="20"/>
        </w:rPr>
        <w:tab/>
        <w:t>Duben</w:t>
      </w:r>
      <w:r w:rsidRPr="004F05BC">
        <w:rPr>
          <w:b w:val="0"/>
          <w:kern w:val="0"/>
          <w:sz w:val="20"/>
        </w:rPr>
        <w:t xml:space="preserve"> 20</w:t>
      </w:r>
      <w:r>
        <w:rPr>
          <w:b w:val="0"/>
          <w:kern w:val="0"/>
          <w:sz w:val="20"/>
        </w:rPr>
        <w:t>19</w:t>
      </w:r>
    </w:p>
    <w:p w:rsidR="00866BE3" w:rsidRPr="004F05BC" w:rsidRDefault="00866BE3" w:rsidP="00866BE3">
      <w:pPr>
        <w:pStyle w:val="ICS"/>
        <w:jc w:val="right"/>
        <w:rPr>
          <w:kern w:val="0"/>
        </w:rPr>
      </w:pPr>
      <w:r w:rsidRPr="004F05BC">
        <w:rPr>
          <w:kern w:val="0"/>
        </w:rPr>
        <w:t xml:space="preserve">ICS </w:t>
      </w:r>
      <w:r>
        <w:rPr>
          <w:kern w:val="0"/>
        </w:rPr>
        <w:t>25.160</w:t>
      </w:r>
      <w:r>
        <w:rPr>
          <w:kern w:val="0"/>
        </w:rPr>
        <w:tab/>
      </w:r>
    </w:p>
    <w:p w:rsidR="00866BE3" w:rsidRPr="00F8212F" w:rsidRDefault="00866BE3" w:rsidP="00866BE3">
      <w:pPr>
        <w:pStyle w:val="NzNorCZ"/>
      </w:pPr>
      <w:r w:rsidRPr="00087780">
        <w:t xml:space="preserve">Zařízení pro obloukové svařování </w:t>
      </w:r>
      <w:r>
        <w:t>–</w:t>
      </w:r>
      <w:r>
        <w:br/>
      </w:r>
      <w:r w:rsidRPr="00087780">
        <w:t>Část 1: Zdroje svařovacího proudu</w:t>
      </w:r>
      <w:r w:rsidRPr="00F8212F">
        <w:br/>
        <w:t>(IEC </w:t>
      </w:r>
      <w:r>
        <w:t>60974-1</w:t>
      </w:r>
      <w:r w:rsidRPr="00F8212F">
        <w:t>:</w:t>
      </w:r>
      <w:r>
        <w:t>2017</w:t>
      </w:r>
      <w:r w:rsidRPr="00F8212F">
        <w:t>/A</w:t>
      </w:r>
      <w:r>
        <w:t>1</w:t>
      </w:r>
      <w:r w:rsidRPr="00F8212F">
        <w:t>:20</w:t>
      </w:r>
      <w:r>
        <w:t>19</w:t>
      </w:r>
      <w:r w:rsidRPr="00F8212F">
        <w:t>)</w:t>
      </w:r>
    </w:p>
    <w:p w:rsidR="00866BE3" w:rsidRPr="00830202" w:rsidRDefault="00866BE3" w:rsidP="00866BE3">
      <w:pPr>
        <w:pStyle w:val="NzNorUS"/>
        <w:rPr>
          <w:lang w:val="cs-CZ"/>
        </w:rPr>
      </w:pPr>
      <w:r w:rsidRPr="00830202">
        <w:rPr>
          <w:lang w:val="cs-CZ"/>
        </w:rPr>
        <w:t>Arc welding equipment –</w:t>
      </w:r>
      <w:r w:rsidRPr="00830202">
        <w:rPr>
          <w:lang w:val="cs-CZ"/>
        </w:rPr>
        <w:br/>
        <w:t>Part 1: Welding power sources</w:t>
      </w:r>
      <w:r w:rsidRPr="00830202">
        <w:rPr>
          <w:lang w:val="cs-CZ"/>
        </w:rPr>
        <w:br/>
        <w:t>(IEC 60974-1:2017/A1:2019)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866BE3" w:rsidRPr="00F8212F" w:rsidTr="00C7234C">
        <w:trPr>
          <w:jc w:val="center"/>
        </w:trPr>
        <w:tc>
          <w:tcPr>
            <w:tcW w:w="4961" w:type="dxa"/>
          </w:tcPr>
          <w:p w:rsidR="00866BE3" w:rsidRPr="00830202" w:rsidRDefault="00866BE3" w:rsidP="00666FAF">
            <w:pPr>
              <w:pStyle w:val="NzNorFraGer"/>
            </w:pPr>
            <w:r w:rsidRPr="00830202">
              <w:t>Matériel de soudage à l’arc –</w:t>
            </w:r>
            <w:r w:rsidR="00666FAF">
              <w:br/>
            </w:r>
            <w:r w:rsidRPr="00830202">
              <w:t>Partie 1: Sources de courant de soudage</w:t>
            </w:r>
            <w:r w:rsidRPr="00830202">
              <w:br/>
              <w:t>(</w:t>
            </w:r>
            <w:r w:rsidRPr="00F8212F">
              <w:t>IEC </w:t>
            </w:r>
            <w:r>
              <w:t>60974-1</w:t>
            </w:r>
            <w:r w:rsidRPr="00F8212F">
              <w:t>:</w:t>
            </w:r>
            <w:r>
              <w:t>2017</w:t>
            </w:r>
            <w:r w:rsidRPr="00F8212F">
              <w:t>/A</w:t>
            </w:r>
            <w:r>
              <w:t>1</w:t>
            </w:r>
            <w:r w:rsidRPr="00F8212F">
              <w:t>:20</w:t>
            </w:r>
            <w:r>
              <w:t>19</w:t>
            </w:r>
            <w:r w:rsidRPr="00830202">
              <w:t>)</w:t>
            </w:r>
          </w:p>
        </w:tc>
        <w:tc>
          <w:tcPr>
            <w:tcW w:w="4962" w:type="dxa"/>
          </w:tcPr>
          <w:p w:rsidR="00866BE3" w:rsidRPr="00830202" w:rsidRDefault="00866BE3" w:rsidP="00666FAF">
            <w:pPr>
              <w:pStyle w:val="NzNorFraGer"/>
            </w:pPr>
            <w:r w:rsidRPr="00830202">
              <w:t>Lichtbogenschweißeinrichtungen –</w:t>
            </w:r>
            <w:r w:rsidR="00666FAF">
              <w:br/>
            </w:r>
            <w:r w:rsidRPr="00830202">
              <w:t>Teil 1: Schweißstromquellen</w:t>
            </w:r>
            <w:r w:rsidRPr="00830202">
              <w:br/>
              <w:t>(</w:t>
            </w:r>
            <w:r w:rsidRPr="00F8212F">
              <w:t>IEC </w:t>
            </w:r>
            <w:r>
              <w:t>60974-1</w:t>
            </w:r>
            <w:r w:rsidRPr="00F8212F">
              <w:t>:</w:t>
            </w:r>
            <w:r>
              <w:t>2017</w:t>
            </w:r>
            <w:r w:rsidRPr="00F8212F">
              <w:t>/A</w:t>
            </w:r>
            <w:r>
              <w:t>1</w:t>
            </w:r>
            <w:r w:rsidRPr="00F8212F">
              <w:t>:20</w:t>
            </w:r>
            <w:r>
              <w:t>19</w:t>
            </w:r>
            <w:r w:rsidRPr="00830202">
              <w:t>)</w:t>
            </w:r>
          </w:p>
        </w:tc>
      </w:tr>
    </w:tbl>
    <w:p w:rsidR="00866BE3" w:rsidRPr="00F8212F" w:rsidRDefault="00866BE3" w:rsidP="00866BE3">
      <w:pPr>
        <w:pStyle w:val="Textnormy"/>
      </w:pPr>
      <w:r w:rsidRPr="00F8212F">
        <w:t>Tato změna A</w:t>
      </w:r>
      <w:r>
        <w:t>1</w:t>
      </w:r>
      <w:r w:rsidRPr="00F8212F">
        <w:t xml:space="preserve"> mění evropskou normu EN </w:t>
      </w:r>
      <w:r>
        <w:t xml:space="preserve">IEC </w:t>
      </w:r>
      <w:r w:rsidRPr="00F8212F">
        <w:t>60</w:t>
      </w:r>
      <w:r>
        <w:t>974</w:t>
      </w:r>
      <w:r w:rsidRPr="00F8212F">
        <w:t>-1:</w:t>
      </w:r>
      <w:r>
        <w:t>2018</w:t>
      </w:r>
      <w:r w:rsidRPr="00F8212F">
        <w:t xml:space="preserve">; </w:t>
      </w:r>
      <w:r>
        <w:t xml:space="preserve">byla schválena </w:t>
      </w:r>
      <w:r w:rsidRPr="00F8212F">
        <w:t xml:space="preserve">CENELEC </w:t>
      </w:r>
      <w:r>
        <w:t>dne</w:t>
      </w:r>
      <w:r w:rsidRPr="00F8212F">
        <w:t xml:space="preserve"> 20</w:t>
      </w:r>
      <w:r>
        <w:t>19</w:t>
      </w:r>
      <w:r w:rsidRPr="00F8212F">
        <w:t>-0</w:t>
      </w:r>
      <w:r>
        <w:t>2</w:t>
      </w:r>
      <w:r w:rsidRPr="00F8212F">
        <w:t>-</w:t>
      </w:r>
      <w:r>
        <w:t>15</w:t>
      </w:r>
      <w:r w:rsidRPr="00F8212F">
        <w:t xml:space="preserve">. </w:t>
      </w:r>
      <w:r w:rsidR="00450C95">
        <w:br/>
      </w:r>
      <w:r w:rsidRPr="00F8212F">
        <w:t xml:space="preserve">Členové CENELEC jsou povinni splnit </w:t>
      </w:r>
      <w:r>
        <w:t>v</w:t>
      </w:r>
      <w:r w:rsidRPr="00F8212F">
        <w:t xml:space="preserve">nitřní předpisy CEN/CENELEC, v nichž jsou stanoveny podmínky, </w:t>
      </w:r>
      <w:r w:rsidRPr="006B4E66">
        <w:t xml:space="preserve">za kterých se této </w:t>
      </w:r>
      <w:r>
        <w:t>změně</w:t>
      </w:r>
      <w:r w:rsidRPr="006B4E66">
        <w:t xml:space="preserve"> bez jakýchkoliv modifikací uděluje status národní normy</w:t>
      </w:r>
      <w:r>
        <w:t>.</w:t>
      </w:r>
      <w:r w:rsidRPr="00F8212F">
        <w:t xml:space="preserve"> </w:t>
      </w:r>
    </w:p>
    <w:p w:rsidR="00866BE3" w:rsidRDefault="00866BE3" w:rsidP="00866BE3">
      <w:pPr>
        <w:pStyle w:val="Textnormy"/>
      </w:pPr>
      <w:r>
        <w:t xml:space="preserve">Aktualizované seznamy a bibliografické citace týkající se těchto národních norem lze obdržet na vyžádání </w:t>
      </w:r>
      <w:r w:rsidR="00450C95">
        <w:br/>
      </w:r>
      <w:r>
        <w:t>v Řídicím centru CEN-CENELEC nebo u kteréhokoliv člena CENELEC.</w:t>
      </w:r>
    </w:p>
    <w:p w:rsidR="00866BE3" w:rsidRPr="00F8212F" w:rsidRDefault="00866BE3" w:rsidP="00866BE3">
      <w:pPr>
        <w:pStyle w:val="Textnormy"/>
      </w:pPr>
      <w:r w:rsidRPr="006F295C">
        <w:rPr>
          <w:spacing w:val="-2"/>
        </w:rPr>
        <w:t>Tato změna existuje ve třech oficiálních verzích (anglické, francouzské, německé). Verze v každém jiném jazyce</w:t>
      </w:r>
      <w:r>
        <w:t xml:space="preserve"> přeložená členem CENELEC do jeho vlastního jazyka, za kterou zodpovídá a kterou notifikuje Řídicímu centru CEN-CENELEC, má stejný status jako oficiální verze.</w:t>
      </w:r>
    </w:p>
    <w:p w:rsidR="00866BE3" w:rsidRDefault="00866BE3" w:rsidP="00450C95">
      <w:pPr>
        <w:pStyle w:val="Textnormy"/>
      </w:pPr>
      <w:r w:rsidRPr="003144EF">
        <w:rPr>
          <w:spacing w:val="-4"/>
        </w:rPr>
        <w:t xml:space="preserve">Členy CENELEC jsou národní elektrotechnické </w:t>
      </w:r>
      <w:r w:rsidRPr="006867CD">
        <w:t xml:space="preserve">komitéty Belgie, Bulharska, České republiky, Dánska, Estonska, Finska, Francie, Chorvatska, Irska, Islandu, Itálie, Kypru, Litvy, Lotyšska, Lucemburska, Maďarska, Malty, </w:t>
      </w:r>
      <w:r w:rsidR="00450C95">
        <w:br/>
      </w:r>
      <w:r w:rsidRPr="006867CD">
        <w:t>Německa, Nizozemska, Norska, Polska, Portugalska, Rakouska,</w:t>
      </w:r>
      <w:r>
        <w:t xml:space="preserve"> Republiky Severní Makedonie,</w:t>
      </w:r>
      <w:r w:rsidRPr="006867CD">
        <w:t xml:space="preserve"> Rumunska, Řecka, Slovenska, Slovinska, Spojeného království, Srbska, Španělska, Švédska, Švýcarska a Turecka.</w:t>
      </w:r>
    </w:p>
    <w:p w:rsidR="00450C95" w:rsidRPr="00AC0FA5" w:rsidRDefault="00666FAF" w:rsidP="00450C95">
      <w:pPr>
        <w:pStyle w:val="Textnormy"/>
        <w:framePr w:hSpace="142" w:wrap="around" w:hAnchor="page" w:x="1022" w:yAlign="bottom"/>
        <w:spacing w:before="60" w:after="0"/>
        <w:jc w:val="center"/>
        <w:rPr>
          <w:sz w:val="24"/>
        </w:rPr>
      </w:pPr>
      <w:r>
        <w:rPr>
          <w:sz w:val="24"/>
        </w:rPr>
        <w:t xml:space="preserve"> </w:t>
      </w:r>
      <w:r w:rsidR="00450C95" w:rsidRPr="00AC0FA5">
        <w:rPr>
          <w:b/>
          <w:noProof/>
          <w:sz w:val="24"/>
        </w:rPr>
        <w:drawing>
          <wp:inline distT="0" distB="0" distL="0" distR="0" wp14:anchorId="1092F242" wp14:editId="70648EB6">
            <wp:extent cx="1229995" cy="589915"/>
            <wp:effectExtent l="0" t="0" r="8255" b="635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r="2763" b="5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C95" w:rsidRPr="00AC0FA5">
        <w:rPr>
          <w:sz w:val="24"/>
        </w:rPr>
        <w:t xml:space="preserve"> </w:t>
      </w:r>
    </w:p>
    <w:p w:rsidR="00450C95" w:rsidRPr="00AC0FA5" w:rsidRDefault="00450C95" w:rsidP="00450C95">
      <w:pPr>
        <w:pStyle w:val="Textnormy"/>
        <w:framePr w:hSpace="142" w:wrap="around" w:hAnchor="page" w:x="1022" w:yAlign="bottom"/>
        <w:spacing w:before="60" w:after="0"/>
        <w:jc w:val="center"/>
        <w:rPr>
          <w:b/>
        </w:rPr>
      </w:pPr>
      <w:r w:rsidRPr="00AC0FA5">
        <w:rPr>
          <w:b/>
        </w:rPr>
        <w:t>Evropský výbor pro normalizaci v elektrotechnice</w:t>
      </w:r>
    </w:p>
    <w:p w:rsidR="00450C95" w:rsidRPr="00AC0FA5" w:rsidRDefault="00450C95" w:rsidP="00450C95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 w:rsidRPr="00AC0FA5">
        <w:rPr>
          <w:b/>
          <w:noProof/>
        </w:rPr>
        <w:t>European Committee for Electrotechnical Standardization</w:t>
      </w:r>
    </w:p>
    <w:p w:rsidR="00450C95" w:rsidRPr="00AC0FA5" w:rsidRDefault="00450C95" w:rsidP="00450C95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 w:rsidRPr="00AC0FA5">
        <w:rPr>
          <w:b/>
          <w:noProof/>
        </w:rPr>
        <w:t>Comité Européen de Normalisation Electrotechnique</w:t>
      </w:r>
    </w:p>
    <w:p w:rsidR="00450C95" w:rsidRPr="00AC0FA5" w:rsidRDefault="00450C95" w:rsidP="00450C95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 w:rsidRPr="00AC0FA5">
        <w:rPr>
          <w:b/>
          <w:noProof/>
        </w:rPr>
        <w:t>Europäisches Komitee für Elektrotechnische Normung</w:t>
      </w:r>
    </w:p>
    <w:p w:rsidR="00450C95" w:rsidRPr="00C36DB1" w:rsidRDefault="00450C95" w:rsidP="00450C95">
      <w:pPr>
        <w:pStyle w:val="Textnormy"/>
        <w:framePr w:hSpace="142" w:wrap="around" w:hAnchor="page" w:x="1022" w:yAlign="bottom"/>
        <w:spacing w:before="120" w:after="240"/>
        <w:jc w:val="center"/>
        <w:rPr>
          <w:rFonts w:cs="Arial"/>
          <w:b/>
        </w:rPr>
      </w:pPr>
      <w:r w:rsidRPr="00AC0FA5">
        <w:rPr>
          <w:b/>
        </w:rPr>
        <w:t>Řídicí centrum CEN-CENELEC:</w:t>
      </w:r>
      <w:r w:rsidRPr="00C36DB1">
        <w:rPr>
          <w:rFonts w:cs="Arial"/>
          <w:b/>
        </w:rPr>
        <w:t xml:space="preserve"> </w:t>
      </w:r>
      <w:r w:rsidRPr="00C36DB1">
        <w:rPr>
          <w:rFonts w:cs="Arial"/>
          <w:b/>
          <w:color w:val="000000"/>
        </w:rPr>
        <w:t>Rue de la Science 23, B-1040 Brusel</w:t>
      </w:r>
    </w:p>
    <w:p w:rsidR="00450C95" w:rsidRPr="00AC0FA5" w:rsidRDefault="00450C95" w:rsidP="00450C95">
      <w:pPr>
        <w:pStyle w:val="Poznmka"/>
        <w:framePr w:hSpace="142" w:wrap="around" w:hAnchor="page" w:x="1022" w:yAlign="bottom"/>
        <w:pBdr>
          <w:top w:val="single" w:sz="6" w:space="6" w:color="auto"/>
        </w:pBdr>
        <w:tabs>
          <w:tab w:val="right" w:pos="9923"/>
        </w:tabs>
        <w:spacing w:before="0" w:after="0"/>
        <w:ind w:left="1843" w:hanging="1843"/>
        <w:jc w:val="left"/>
      </w:pPr>
      <w:r w:rsidRPr="00AC0FA5">
        <w:sym w:font="Times New Roman" w:char="00A9"/>
      </w:r>
      <w:r w:rsidRPr="00AC0FA5">
        <w:t> </w:t>
      </w:r>
      <w:r>
        <w:t>2019</w:t>
      </w:r>
      <w:r w:rsidRPr="00AC0FA5">
        <w:t xml:space="preserve"> CENELEC</w:t>
      </w:r>
      <w:r w:rsidRPr="00AC0FA5">
        <w:tab/>
        <w:t>Veškerá práva pro využití v jakékoli</w:t>
      </w:r>
      <w:r>
        <w:t>v</w:t>
      </w:r>
      <w:r w:rsidRPr="00AC0FA5">
        <w:t xml:space="preserve"> formě a jakýmikoli</w:t>
      </w:r>
      <w:r>
        <w:t>v</w:t>
      </w:r>
      <w:r w:rsidRPr="00AC0FA5">
        <w:t xml:space="preserve"> prostředky </w:t>
      </w:r>
      <w:r w:rsidRPr="00AC0FA5">
        <w:br/>
        <w:t>jsou celosvětově vyhrazena členům CENELEC.</w:t>
      </w:r>
      <w:r w:rsidRPr="00AC0FA5">
        <w:br/>
      </w:r>
      <w:r w:rsidRPr="00AC0FA5">
        <w:tab/>
        <w:t xml:space="preserve">Ref. č. </w:t>
      </w:r>
      <w:r w:rsidRPr="005F179D">
        <w:t>EN IEC 60974-1:2018/A1:2019</w:t>
      </w:r>
      <w:r w:rsidRPr="00AC0FA5">
        <w:t xml:space="preserve"> E</w:t>
      </w:r>
    </w:p>
    <w:p w:rsidR="00866BE3" w:rsidRPr="004F05BC" w:rsidRDefault="00866BE3" w:rsidP="00866BE3">
      <w:pPr>
        <w:pStyle w:val="Nadpiskapitoly"/>
        <w:pageBreakBefore/>
        <w:spacing w:before="0"/>
      </w:pPr>
      <w:r w:rsidRPr="005A28C1">
        <w:lastRenderedPageBreak/>
        <w:t>Evropská předmluva</w:t>
      </w:r>
    </w:p>
    <w:p w:rsidR="00866BE3" w:rsidRPr="004F05BC" w:rsidRDefault="00866BE3" w:rsidP="00866BE3">
      <w:pPr>
        <w:pStyle w:val="Textnormy"/>
        <w:rPr>
          <w:spacing w:val="-4"/>
        </w:rPr>
      </w:pPr>
      <w:r>
        <w:rPr>
          <w:spacing w:val="-4"/>
        </w:rPr>
        <w:t xml:space="preserve">Text dokumentu 26/653/CDV, budoucího pátého vydání IEC 60974-1:2017/A1, který </w:t>
      </w:r>
      <w:r w:rsidRPr="007E1FDB">
        <w:t>vypracovala technická komise CLC/TC </w:t>
      </w:r>
      <w:r>
        <w:t>26</w:t>
      </w:r>
      <w:r w:rsidRPr="007E1FDB">
        <w:t xml:space="preserve"> </w:t>
      </w:r>
      <w:r>
        <w:rPr>
          <w:i/>
        </w:rPr>
        <w:t>Elektrické svařování</w:t>
      </w:r>
      <w:r w:rsidRPr="007E1FDB">
        <w:rPr>
          <w:i/>
        </w:rPr>
        <w:t>,</w:t>
      </w:r>
      <w:r w:rsidRPr="007E1FDB">
        <w:t xml:space="preserve"> byl předložen k </w:t>
      </w:r>
      <w:r>
        <w:t>paralelnímu</w:t>
      </w:r>
      <w:r w:rsidRPr="007E1FDB">
        <w:t xml:space="preserve"> hlasování </w:t>
      </w:r>
      <w:r>
        <w:t xml:space="preserve">IEC-CENELEC </w:t>
      </w:r>
      <w:r w:rsidRPr="007E1FDB">
        <w:t>a byl schválen CENELEC jako EN </w:t>
      </w:r>
      <w:r>
        <w:t xml:space="preserve">IEC </w:t>
      </w:r>
      <w:r w:rsidRPr="007E1FDB">
        <w:t>60</w:t>
      </w:r>
      <w:r>
        <w:t>974</w:t>
      </w:r>
      <w:r w:rsidRPr="007E1FDB">
        <w:t>-</w:t>
      </w:r>
      <w:r>
        <w:t>1</w:t>
      </w:r>
      <w:r w:rsidRPr="007E1FDB">
        <w:t>:</w:t>
      </w:r>
      <w:r>
        <w:t>2018</w:t>
      </w:r>
      <w:r w:rsidRPr="007E1FDB">
        <w:t>/A</w:t>
      </w:r>
      <w:r>
        <w:t>1</w:t>
      </w:r>
      <w:r w:rsidRPr="007E1FDB">
        <w:t>:20</w:t>
      </w:r>
      <w:r>
        <w:t>19</w:t>
      </w:r>
      <w:r w:rsidRPr="004F05BC">
        <w:rPr>
          <w:spacing w:val="-4"/>
        </w:rPr>
        <w:t>.</w:t>
      </w:r>
    </w:p>
    <w:p w:rsidR="00866BE3" w:rsidRPr="00F8212F" w:rsidRDefault="00866BE3" w:rsidP="00666FAF">
      <w:pPr>
        <w:pStyle w:val="Textnormy"/>
        <w:suppressAutoHyphens/>
        <w:spacing w:before="240"/>
      </w:pPr>
      <w:r>
        <w:t>Jsou</w:t>
      </w:r>
      <w:r w:rsidRPr="00F8212F">
        <w:t xml:space="preserve"> stanovena tato data:</w:t>
      </w:r>
    </w:p>
    <w:tbl>
      <w:tblPr>
        <w:tblW w:w="9923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7465"/>
        <w:gridCol w:w="861"/>
        <w:gridCol w:w="1597"/>
      </w:tblGrid>
      <w:tr w:rsidR="00866BE3" w:rsidRPr="00F8212F" w:rsidTr="00C7234C">
        <w:tc>
          <w:tcPr>
            <w:tcW w:w="7465" w:type="dxa"/>
          </w:tcPr>
          <w:p w:rsidR="00866BE3" w:rsidRPr="00F8212F" w:rsidRDefault="00866BE3" w:rsidP="00C7234C">
            <w:pPr>
              <w:pStyle w:val="Seznamvnorm"/>
              <w:jc w:val="left"/>
            </w:pPr>
            <w:r w:rsidRPr="00F8212F">
              <w:t xml:space="preserve">nejzazší datum zavedení </w:t>
            </w:r>
            <w:r>
              <w:t>dokumentu</w:t>
            </w:r>
            <w:r w:rsidRPr="00F8212F">
              <w:t xml:space="preserve"> na národní úrovni</w:t>
            </w:r>
            <w:r w:rsidRPr="00F8212F">
              <w:br/>
              <w:t>vydáním identické národní normy nebo vydáním</w:t>
            </w:r>
            <w:r w:rsidRPr="00F8212F">
              <w:br/>
              <w:t>oznámení o schválení k přímému používání</w:t>
            </w:r>
            <w:r w:rsidRPr="00F8212F">
              <w:br/>
              <w:t>jako normy národní</w:t>
            </w:r>
          </w:p>
        </w:tc>
        <w:tc>
          <w:tcPr>
            <w:tcW w:w="861" w:type="dxa"/>
            <w:vAlign w:val="bottom"/>
          </w:tcPr>
          <w:p w:rsidR="00866BE3" w:rsidRPr="00F8212F" w:rsidRDefault="00866BE3" w:rsidP="00C7234C">
            <w:pPr>
              <w:pStyle w:val="Textnormy"/>
              <w:jc w:val="left"/>
            </w:pPr>
            <w:r w:rsidRPr="00F8212F">
              <w:t>(dop)</w:t>
            </w:r>
          </w:p>
        </w:tc>
        <w:tc>
          <w:tcPr>
            <w:tcW w:w="1597" w:type="dxa"/>
            <w:vAlign w:val="bottom"/>
          </w:tcPr>
          <w:p w:rsidR="00866BE3" w:rsidRPr="00F8212F" w:rsidRDefault="00866BE3" w:rsidP="00C7234C">
            <w:pPr>
              <w:pStyle w:val="Textnormy"/>
              <w:jc w:val="left"/>
            </w:pPr>
            <w:r w:rsidRPr="00F8212F">
              <w:t>20</w:t>
            </w:r>
            <w:r>
              <w:t>19</w:t>
            </w:r>
            <w:r w:rsidRPr="00F8212F">
              <w:t>-</w:t>
            </w:r>
            <w:r>
              <w:t>11</w:t>
            </w:r>
            <w:r w:rsidRPr="00F8212F">
              <w:t>-</w:t>
            </w:r>
            <w:r>
              <w:t>15</w:t>
            </w:r>
          </w:p>
        </w:tc>
      </w:tr>
      <w:tr w:rsidR="00866BE3" w:rsidRPr="00F8212F" w:rsidTr="00C7234C">
        <w:tc>
          <w:tcPr>
            <w:tcW w:w="7465" w:type="dxa"/>
          </w:tcPr>
          <w:p w:rsidR="00866BE3" w:rsidRPr="00F8212F" w:rsidRDefault="00866BE3" w:rsidP="00C7234C">
            <w:pPr>
              <w:pStyle w:val="Seznamvnorm"/>
              <w:jc w:val="left"/>
            </w:pPr>
            <w:r w:rsidRPr="00F8212F">
              <w:t>nejzazší datum zrušení národních norem,</w:t>
            </w:r>
            <w:r w:rsidRPr="00F8212F">
              <w:br/>
              <w:t xml:space="preserve">které jsou </w:t>
            </w:r>
            <w:r>
              <w:t>s dokumentem</w:t>
            </w:r>
            <w:r w:rsidRPr="00F8212F">
              <w:t xml:space="preserve"> v rozporu</w:t>
            </w:r>
          </w:p>
        </w:tc>
        <w:tc>
          <w:tcPr>
            <w:tcW w:w="861" w:type="dxa"/>
            <w:vAlign w:val="bottom"/>
          </w:tcPr>
          <w:p w:rsidR="00866BE3" w:rsidRPr="00F8212F" w:rsidRDefault="00866BE3" w:rsidP="00C7234C">
            <w:pPr>
              <w:pStyle w:val="Textnormy"/>
              <w:jc w:val="left"/>
            </w:pPr>
            <w:r w:rsidRPr="00F8212F">
              <w:t>(dow)</w:t>
            </w:r>
          </w:p>
        </w:tc>
        <w:tc>
          <w:tcPr>
            <w:tcW w:w="1597" w:type="dxa"/>
            <w:vAlign w:val="bottom"/>
          </w:tcPr>
          <w:p w:rsidR="00866BE3" w:rsidRPr="00F8212F" w:rsidRDefault="00866BE3" w:rsidP="00C7234C">
            <w:pPr>
              <w:pStyle w:val="Textnormy"/>
              <w:jc w:val="left"/>
            </w:pPr>
            <w:r>
              <w:t>2022-</w:t>
            </w:r>
            <w:r w:rsidRPr="00F8212F">
              <w:t>0</w:t>
            </w:r>
            <w:r>
              <w:t>2</w:t>
            </w:r>
            <w:r w:rsidRPr="00F8212F">
              <w:t>-</w:t>
            </w:r>
            <w:r>
              <w:t>15</w:t>
            </w:r>
          </w:p>
        </w:tc>
      </w:tr>
    </w:tbl>
    <w:p w:rsidR="00866BE3" w:rsidRDefault="00866BE3" w:rsidP="00A71E72">
      <w:pPr>
        <w:pStyle w:val="Textnormy"/>
        <w:spacing w:before="120"/>
      </w:pPr>
      <w:r w:rsidRPr="00B47A2B">
        <w:t>Upozorňuje se na možnost, že některé prvky tohoto dokumentu mohou být předmětem patentových práv. CENELEC nelze činit odpovědným za identifikaci jakéhokoliv nebo všech patentových práv.</w:t>
      </w:r>
    </w:p>
    <w:p w:rsidR="00283649" w:rsidRDefault="00283649" w:rsidP="00283649">
      <w:pPr>
        <w:pStyle w:val="Textnormy"/>
      </w:pPr>
      <w:r>
        <w:t>Tento dokument byl vypracován na základě mandátu uděleného CENELEC Evropskou komisí a Evropským sdružením volného obchodu a podporuje splnění základních požadavků směrnice (směrnic) EU.</w:t>
      </w:r>
    </w:p>
    <w:p w:rsidR="00866BE3" w:rsidRPr="00350B62" w:rsidRDefault="00866BE3" w:rsidP="00A71E72">
      <w:pPr>
        <w:pStyle w:val="Textnormy"/>
      </w:pPr>
      <w:bookmarkStart w:id="0" w:name="_GoBack"/>
      <w:r w:rsidRPr="00350B62">
        <w:t xml:space="preserve">Vztah se směrnicí (směrnicemi) EU je uveden v informativní příloze ZZ, která tvoří nedílnou součást </w:t>
      </w:r>
      <w:r>
        <w:t>tohoto dokumentu</w:t>
      </w:r>
      <w:r w:rsidRPr="00350B62">
        <w:t>.</w:t>
      </w:r>
    </w:p>
    <w:bookmarkEnd w:id="0"/>
    <w:p w:rsidR="00866BE3" w:rsidRPr="004F05BC" w:rsidRDefault="00866BE3" w:rsidP="00866BE3">
      <w:pPr>
        <w:pStyle w:val="Nadpislnku"/>
      </w:pPr>
      <w:r w:rsidRPr="004F05BC">
        <w:t>Oznámení o schválení</w:t>
      </w:r>
    </w:p>
    <w:p w:rsidR="00866BE3" w:rsidRPr="00585681" w:rsidRDefault="00866BE3" w:rsidP="00866BE3">
      <w:pPr>
        <w:pStyle w:val="Textnormy"/>
      </w:pPr>
      <w:r w:rsidRPr="004F05BC">
        <w:t>Text mezinárodní normy IEC 60</w:t>
      </w:r>
      <w:r>
        <w:t>974</w:t>
      </w:r>
      <w:r w:rsidRPr="004F05BC">
        <w:t>-1:20</w:t>
      </w:r>
      <w:r>
        <w:t>17/A1:2019</w:t>
      </w:r>
      <w:r w:rsidRPr="004F05BC">
        <w:t xml:space="preserve"> byl schválen CENELEC jako evropská norma </w:t>
      </w:r>
      <w:r>
        <w:rPr>
          <w:spacing w:val="-4"/>
        </w:rPr>
        <w:t xml:space="preserve">bez jakýchkoliv modifikací. </w:t>
      </w:r>
    </w:p>
    <w:p w:rsidR="00866BE3" w:rsidRDefault="00866BE3" w:rsidP="00866BE3">
      <w:pPr>
        <w:pStyle w:val="Textnormy"/>
        <w:tabs>
          <w:tab w:val="left" w:pos="3402"/>
          <w:tab w:val="left" w:pos="4962"/>
          <w:tab w:val="left" w:pos="8505"/>
        </w:tabs>
        <w:rPr>
          <w:i/>
        </w:rPr>
      </w:pPr>
      <w:bookmarkStart w:id="1" w:name="_Toc189278182"/>
      <w:bookmarkStart w:id="2" w:name="_Toc191267650"/>
      <w:bookmarkStart w:id="3" w:name="_Toc191299466"/>
      <w:r>
        <w:br w:type="page"/>
      </w:r>
      <w:bookmarkEnd w:id="1"/>
      <w:bookmarkEnd w:id="2"/>
      <w:bookmarkEnd w:id="3"/>
      <w:r w:rsidRPr="00456CC4">
        <w:rPr>
          <w:i/>
          <w:highlight w:val="yellow"/>
        </w:rPr>
        <w:lastRenderedPageBreak/>
        <w:t>pokračuje další text</w:t>
      </w:r>
    </w:p>
    <w:p w:rsidR="00866BE3" w:rsidRDefault="00866BE3" w:rsidP="00866BE3">
      <w:pPr>
        <w:pStyle w:val="Textnormy"/>
      </w:pPr>
    </w:p>
    <w:p w:rsidR="00866BE3" w:rsidRDefault="00866BE3" w:rsidP="00A71E72">
      <w:pPr>
        <w:pStyle w:val="Nadpis1"/>
        <w:pageBreakBefore/>
        <w:spacing w:before="0"/>
      </w:pPr>
      <w:r>
        <w:lastRenderedPageBreak/>
        <w:t xml:space="preserve">Příloha ZZ </w:t>
      </w:r>
      <w:r w:rsidRPr="00E62AAB">
        <w:rPr>
          <w:b w:val="0"/>
        </w:rPr>
        <w:t>(informativní)</w:t>
      </w:r>
    </w:p>
    <w:p w:rsidR="00866BE3" w:rsidRPr="005070D3" w:rsidRDefault="00866BE3" w:rsidP="00866BE3">
      <w:pPr>
        <w:pStyle w:val="Nadpis1"/>
      </w:pPr>
      <w:r>
        <w:t xml:space="preserve">Vztah mezi touto evropskou normou a bezpečnostními </w:t>
      </w:r>
      <w:r w:rsidR="00E157B5">
        <w:t xml:space="preserve">cíli </w:t>
      </w:r>
      <w:r w:rsidR="00DA6CD0">
        <w:t>s</w:t>
      </w:r>
      <w:r>
        <w:t>měrnice 2014/35/EU</w:t>
      </w:r>
      <w:r w:rsidR="00666FAF">
        <w:t xml:space="preserve"> </w:t>
      </w:r>
      <w:r w:rsidR="00DA6CD0">
        <w:br/>
      </w:r>
      <w:r>
        <w:t>[2014 OJ L96], které mají být pokryty</w:t>
      </w:r>
    </w:p>
    <w:p w:rsidR="00866BE3" w:rsidRPr="00495487" w:rsidRDefault="00866BE3" w:rsidP="00866BE3">
      <w:pPr>
        <w:pStyle w:val="Textnormy"/>
        <w:tabs>
          <w:tab w:val="left" w:pos="1418"/>
          <w:tab w:val="left" w:pos="2268"/>
          <w:tab w:val="left" w:pos="7230"/>
          <w:tab w:val="left" w:pos="8789"/>
        </w:tabs>
      </w:pPr>
      <w:r>
        <w:t xml:space="preserve">Tato evropská norma byla vypracována na základě normalizačního požadavku Komise M/511, týkajícího se harmonizovaných norem v oblasti směrnice o nízkém napětí (LVD), za účelem poskytnutí jednoho dobrovolného prostředku pro zajištění shody s bezpečnostními </w:t>
      </w:r>
      <w:r w:rsidR="00E157B5">
        <w:t xml:space="preserve">cíli </w:t>
      </w:r>
      <w:r>
        <w:t>směrnice</w:t>
      </w:r>
      <w:r w:rsidR="00E157B5">
        <w:t xml:space="preserve"> 2014/35/EU</w:t>
      </w:r>
      <w:r>
        <w:t xml:space="preserve"> </w:t>
      </w:r>
      <w:r w:rsidRPr="0073253F">
        <w:t xml:space="preserve">Evropského parlamentu a Rady </w:t>
      </w:r>
      <w:r w:rsidRPr="006C7FE4">
        <w:t>ze dne 26. února 2014</w:t>
      </w:r>
      <w:r>
        <w:t>,</w:t>
      </w:r>
      <w:r w:rsidRPr="006C7FE4">
        <w:t xml:space="preserve"> o harmonizaci právních předpisů členských států týkajících se dodávání elektrických zařízení určených pro používání v určitých mezích napětí na trh </w:t>
      </w:r>
      <w:r w:rsidRPr="00495487">
        <w:t>[</w:t>
      </w:r>
      <w:r>
        <w:t>2014 OJ L96</w:t>
      </w:r>
      <w:r w:rsidRPr="00495487">
        <w:t>]</w:t>
      </w:r>
      <w:r>
        <w:t>.</w:t>
      </w:r>
    </w:p>
    <w:p w:rsidR="00866BE3" w:rsidRDefault="00866BE3" w:rsidP="00866BE3">
      <w:pPr>
        <w:pStyle w:val="Textnormy"/>
        <w:tabs>
          <w:tab w:val="left" w:pos="1418"/>
          <w:tab w:val="left" w:pos="2268"/>
          <w:tab w:val="left" w:pos="7230"/>
          <w:tab w:val="left" w:pos="8789"/>
        </w:tabs>
      </w:pPr>
      <w:r w:rsidRPr="00495487">
        <w:t xml:space="preserve">Jakmile je tato norma uvedena v Úředním věstníku Evropské unie </w:t>
      </w:r>
      <w:r>
        <w:t>v rámci této</w:t>
      </w:r>
      <w:r w:rsidRPr="00495487">
        <w:t xml:space="preserve"> směrnic</w:t>
      </w:r>
      <w:r>
        <w:t xml:space="preserve">e, potom shoda s ustanoveními této normy uvedenými v </w:t>
      </w:r>
      <w:r w:rsidRPr="00495487">
        <w:t>tabulce</w:t>
      </w:r>
      <w:r>
        <w:t xml:space="preserve"> </w:t>
      </w:r>
      <w:proofErr w:type="gramStart"/>
      <w:r>
        <w:t>ZZ.1 potvrzuje</w:t>
      </w:r>
      <w:proofErr w:type="gramEnd"/>
      <w:r>
        <w:t xml:space="preserve"> v rozsahu </w:t>
      </w:r>
      <w:r w:rsidR="00E157B5">
        <w:t xml:space="preserve">platnosti </w:t>
      </w:r>
      <w:r>
        <w:t xml:space="preserve">této normy předpoklad shody </w:t>
      </w:r>
      <w:r w:rsidR="00A71E72">
        <w:t>s </w:t>
      </w:r>
      <w:r w:rsidRPr="00495487">
        <w:t xml:space="preserve">příslušnými </w:t>
      </w:r>
      <w:r w:rsidR="00E157B5">
        <w:t xml:space="preserve"> bezpečnostními cíli</w:t>
      </w:r>
      <w:r w:rsidRPr="00495487">
        <w:t xml:space="preserve"> této směrnice a přidružený</w:t>
      </w:r>
      <w:r>
        <w:t>ch</w:t>
      </w:r>
      <w:r w:rsidRPr="00495487">
        <w:t xml:space="preserve"> předpis</w:t>
      </w:r>
      <w:r>
        <w:t>ů</w:t>
      </w:r>
      <w:r w:rsidRPr="00495487">
        <w:t xml:space="preserve"> ESVO</w:t>
      </w:r>
      <w:r>
        <w:t>.</w:t>
      </w:r>
    </w:p>
    <w:p w:rsidR="00866BE3" w:rsidRPr="00495487" w:rsidRDefault="00866BE3" w:rsidP="00E62FAA">
      <w:pPr>
        <w:pStyle w:val="NadpisTab"/>
      </w:pPr>
      <w:bookmarkStart w:id="4" w:name="_Toc511391149"/>
      <w:bookmarkStart w:id="5" w:name="_Toc511391722"/>
      <w:bookmarkStart w:id="6" w:name="_Toc511391872"/>
      <w:r w:rsidRPr="00030D4A">
        <w:t xml:space="preserve">Tabulka </w:t>
      </w:r>
      <w:proofErr w:type="gramStart"/>
      <w:r w:rsidRPr="00030D4A">
        <w:t xml:space="preserve">ZZ.1 </w:t>
      </w:r>
      <w:r>
        <w:t>–</w:t>
      </w:r>
      <w:r w:rsidRPr="00030D4A">
        <w:t xml:space="preserve"> </w:t>
      </w:r>
      <w:r>
        <w:t>Vztah</w:t>
      </w:r>
      <w:proofErr w:type="gramEnd"/>
      <w:r w:rsidRPr="00030D4A">
        <w:t xml:space="preserve"> mezi touto evropskou normou</w:t>
      </w:r>
      <w:r>
        <w:t xml:space="preserve"> a přílohou I</w:t>
      </w:r>
      <w:r w:rsidRPr="00030D4A">
        <w:t xml:space="preserve"> </w:t>
      </w:r>
      <w:r>
        <w:br/>
      </w:r>
      <w:r w:rsidRPr="00030D4A">
        <w:t>směrnic</w:t>
      </w:r>
      <w:r>
        <w:t>e</w:t>
      </w:r>
      <w:r w:rsidRPr="00030D4A">
        <w:t xml:space="preserve"> EU </w:t>
      </w:r>
      <w:r>
        <w:t>2014/35</w:t>
      </w:r>
      <w:r w:rsidRPr="00030D4A">
        <w:t>/E</w:t>
      </w:r>
      <w:r>
        <w:t xml:space="preserve">U </w:t>
      </w:r>
      <w:r w:rsidRPr="00A34D44">
        <w:t>[2014 OJ L96]</w:t>
      </w:r>
      <w:bookmarkEnd w:id="4"/>
      <w:bookmarkEnd w:id="5"/>
      <w:bookmarkEnd w:id="6"/>
      <w:r>
        <w:t xml:space="preserve">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84"/>
        <w:gridCol w:w="3774"/>
        <w:gridCol w:w="3665"/>
      </w:tblGrid>
      <w:tr w:rsidR="00866BE3" w:rsidRPr="00CE04E4" w:rsidTr="00E62FAA">
        <w:tc>
          <w:tcPr>
            <w:tcW w:w="2518" w:type="dxa"/>
            <w:shd w:val="clear" w:color="auto" w:fill="auto"/>
          </w:tcPr>
          <w:p w:rsidR="00866BE3" w:rsidRPr="00CE04E4" w:rsidRDefault="00866BE3" w:rsidP="00C7234C">
            <w:pPr>
              <w:pStyle w:val="Texttabulky"/>
              <w:jc w:val="center"/>
              <w:rPr>
                <w:b/>
              </w:rPr>
            </w:pPr>
            <w:r w:rsidRPr="00CE04E4">
              <w:rPr>
                <w:b/>
              </w:rPr>
              <w:t>Bezpečnostní cíle směrnice 2014/35/EU</w:t>
            </w:r>
          </w:p>
        </w:tc>
        <w:tc>
          <w:tcPr>
            <w:tcW w:w="3827" w:type="dxa"/>
            <w:shd w:val="clear" w:color="auto" w:fill="auto"/>
          </w:tcPr>
          <w:p w:rsidR="00866BE3" w:rsidRPr="00CE04E4" w:rsidRDefault="00866BE3" w:rsidP="00C7234C">
            <w:pPr>
              <w:pStyle w:val="Texttabulky"/>
              <w:jc w:val="center"/>
              <w:rPr>
                <w:b/>
              </w:rPr>
            </w:pPr>
            <w:r w:rsidRPr="00CE04E4">
              <w:rPr>
                <w:b/>
              </w:rPr>
              <w:t>Ustanovení této EN</w:t>
            </w:r>
          </w:p>
        </w:tc>
        <w:tc>
          <w:tcPr>
            <w:tcW w:w="3717" w:type="dxa"/>
            <w:shd w:val="clear" w:color="auto" w:fill="auto"/>
          </w:tcPr>
          <w:p w:rsidR="00866BE3" w:rsidRPr="00CE04E4" w:rsidRDefault="00866BE3" w:rsidP="00C7234C">
            <w:pPr>
              <w:pStyle w:val="Texttabulky"/>
              <w:jc w:val="center"/>
              <w:rPr>
                <w:b/>
              </w:rPr>
            </w:pPr>
            <w:r w:rsidRPr="00CE04E4">
              <w:rPr>
                <w:b/>
              </w:rPr>
              <w:t>Komentáře / poznámky</w:t>
            </w:r>
          </w:p>
        </w:tc>
      </w:tr>
      <w:tr w:rsidR="00866BE3" w:rsidRPr="003E06A5" w:rsidTr="00E62FAA">
        <w:tc>
          <w:tcPr>
            <w:tcW w:w="2518" w:type="dxa"/>
            <w:shd w:val="clear" w:color="auto" w:fill="auto"/>
          </w:tcPr>
          <w:p w:rsidR="00866BE3" w:rsidRPr="003E06A5" w:rsidRDefault="00866BE3" w:rsidP="00C7234C">
            <w:pPr>
              <w:pStyle w:val="Texttabulky"/>
              <w:jc w:val="center"/>
            </w:pPr>
            <w:r w:rsidRPr="003E06A5">
              <w:t>1(c)</w:t>
            </w:r>
          </w:p>
        </w:tc>
        <w:tc>
          <w:tcPr>
            <w:tcW w:w="3827" w:type="dxa"/>
            <w:shd w:val="clear" w:color="auto" w:fill="auto"/>
          </w:tcPr>
          <w:p w:rsidR="00866BE3" w:rsidRPr="003E06A5" w:rsidRDefault="00866BE3" w:rsidP="00C7234C">
            <w:pPr>
              <w:pStyle w:val="Texttabulky"/>
              <w:jc w:val="center"/>
            </w:pPr>
            <w:r w:rsidRPr="003E06A5">
              <w:t>Kapitoly 1, 3, 4</w:t>
            </w:r>
          </w:p>
          <w:p w:rsidR="00866BE3" w:rsidRPr="003E06A5" w:rsidRDefault="00866BE3" w:rsidP="00C7234C">
            <w:pPr>
              <w:pStyle w:val="Texttabulky"/>
              <w:jc w:val="center"/>
            </w:pPr>
            <w:r w:rsidRPr="003E06A5">
              <w:t xml:space="preserve">Příloha </w:t>
            </w:r>
            <w:proofErr w:type="gramStart"/>
            <w:r w:rsidRPr="003E06A5">
              <w:t>O.4</w:t>
            </w:r>
            <w:proofErr w:type="gramEnd"/>
          </w:p>
          <w:p w:rsidR="00866BE3" w:rsidRPr="003E06A5" w:rsidRDefault="00866BE3" w:rsidP="00C7234C">
            <w:pPr>
              <w:pStyle w:val="Texttabulky"/>
              <w:jc w:val="center"/>
            </w:pPr>
            <w:r w:rsidRPr="003E06A5">
              <w:t>viz také body 2 a 3 níže</w:t>
            </w:r>
          </w:p>
        </w:tc>
        <w:tc>
          <w:tcPr>
            <w:tcW w:w="3717" w:type="dxa"/>
            <w:shd w:val="clear" w:color="auto" w:fill="auto"/>
          </w:tcPr>
          <w:p w:rsidR="00866BE3" w:rsidRPr="003E06A5" w:rsidRDefault="00866BE3" w:rsidP="00C7234C">
            <w:pPr>
              <w:pStyle w:val="Texttabulky"/>
            </w:pPr>
            <w:r>
              <w:t>Zkoušení v průběhu pravidelné údržby nebo po opravě je předmětem samostatných norem.</w:t>
            </w:r>
          </w:p>
        </w:tc>
      </w:tr>
      <w:tr w:rsidR="00866BE3" w:rsidRPr="003E06A5" w:rsidTr="00E62FAA">
        <w:tc>
          <w:tcPr>
            <w:tcW w:w="2518" w:type="dxa"/>
            <w:shd w:val="clear" w:color="auto" w:fill="auto"/>
          </w:tcPr>
          <w:p w:rsidR="00866BE3" w:rsidRPr="003E06A5" w:rsidRDefault="00866BE3" w:rsidP="00C7234C">
            <w:pPr>
              <w:pStyle w:val="Texttabulky"/>
              <w:jc w:val="center"/>
            </w:pPr>
            <w:r w:rsidRPr="003E06A5">
              <w:t>2(a)</w:t>
            </w:r>
          </w:p>
        </w:tc>
        <w:tc>
          <w:tcPr>
            <w:tcW w:w="3827" w:type="dxa"/>
            <w:shd w:val="clear" w:color="auto" w:fill="auto"/>
          </w:tcPr>
          <w:p w:rsidR="00866BE3" w:rsidRPr="003E06A5" w:rsidRDefault="00866BE3" w:rsidP="00C7234C">
            <w:pPr>
              <w:pStyle w:val="Texttabulky"/>
              <w:jc w:val="center"/>
            </w:pPr>
            <w:r w:rsidRPr="003E06A5">
              <w:t>Kapitoly 6.1, 6.2, 6.3, 10, 11.1, 11.4, 11.5, 11.6, 11.7, 12, 13</w:t>
            </w:r>
          </w:p>
          <w:p w:rsidR="00866BE3" w:rsidRPr="003E06A5" w:rsidRDefault="00866BE3" w:rsidP="00C7234C">
            <w:pPr>
              <w:pStyle w:val="Texttabulky"/>
              <w:jc w:val="center"/>
            </w:pPr>
            <w:r>
              <w:t xml:space="preserve">Přílohy </w:t>
            </w:r>
            <w:proofErr w:type="gramStart"/>
            <w:r w:rsidRPr="003E06A5">
              <w:t>O.6.1</w:t>
            </w:r>
            <w:proofErr w:type="gramEnd"/>
            <w:r w:rsidRPr="003E06A5">
              <w:t>, O.6.2, O.10</w:t>
            </w:r>
          </w:p>
        </w:tc>
        <w:tc>
          <w:tcPr>
            <w:tcW w:w="3717" w:type="dxa"/>
            <w:shd w:val="clear" w:color="auto" w:fill="auto"/>
          </w:tcPr>
          <w:p w:rsidR="00866BE3" w:rsidRPr="003E06A5" w:rsidRDefault="00866BE3" w:rsidP="00C7234C">
            <w:pPr>
              <w:pStyle w:val="Texttabulky"/>
            </w:pPr>
          </w:p>
        </w:tc>
      </w:tr>
    </w:tbl>
    <w:p w:rsidR="00866BE3" w:rsidRDefault="00866BE3" w:rsidP="00A71E72">
      <w:pPr>
        <w:pStyle w:val="Textnormy"/>
        <w:tabs>
          <w:tab w:val="left" w:pos="1418"/>
          <w:tab w:val="left" w:pos="2268"/>
          <w:tab w:val="left" w:pos="7230"/>
          <w:tab w:val="left" w:pos="8789"/>
        </w:tabs>
        <w:spacing w:before="240"/>
      </w:pPr>
      <w:r w:rsidRPr="002C1B90">
        <w:t>UPOZORNĚNÍ 1</w:t>
      </w:r>
      <w:r w:rsidRPr="00E62FAA">
        <w:t> </w:t>
      </w:r>
      <w:r>
        <w:t>Předpoklad shody platí pouze tak dlouho, dokud je odkaz na tuto evropskou normu zachován v seznamu uveřejněném v Úředním věstníku Evropské unie. Uživatelé této normy by měli průběžně nahlížet do nejnovějšího seznamu v Úředním věstníku Evropské unie.</w:t>
      </w:r>
    </w:p>
    <w:p w:rsidR="00A83EAB" w:rsidRDefault="00866BE3" w:rsidP="00A71E72">
      <w:pPr>
        <w:pStyle w:val="Textnormy"/>
      </w:pPr>
      <w:r w:rsidRPr="002C1B90">
        <w:t>UPOZORNĚNÍ 2</w:t>
      </w:r>
      <w:r w:rsidRPr="00E62FAA">
        <w:t> </w:t>
      </w:r>
      <w:r>
        <w:t>Na výrobek (výrobky), který je předmětem této normy, se mohou vztahovat další právní předpisy Unie.</w:t>
      </w:r>
    </w:p>
    <w:sectPr w:rsidR="00A83E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F9" w:rsidRDefault="002F46F9">
      <w:r>
        <w:separator/>
      </w:r>
    </w:p>
  </w:endnote>
  <w:endnote w:type="continuationSeparator" w:id="0">
    <w:p w:rsidR="002F46F9" w:rsidRDefault="002F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428080"/>
      <w:docPartObj>
        <w:docPartGallery w:val="Page Numbers (Bottom of Page)"/>
        <w:docPartUnique/>
      </w:docPartObj>
    </w:sdtPr>
    <w:sdtEndPr/>
    <w:sdtContent>
      <w:p w:rsidR="00F34746" w:rsidRDefault="00450C95" w:rsidP="00450C9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7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0C95">
      <w:rPr>
        <w:rStyle w:val="slostrnky"/>
        <w:noProof/>
      </w:rPr>
      <w:t>6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10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10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>© Úřad pro technickou normalizaci, metro</w:t>
    </w:r>
    <w:r w:rsidR="007F4A22">
      <w:rPr>
        <w:sz w:val="16"/>
      </w:rPr>
      <w:t xml:space="preserve">logii a státní zkušebnictví, </w:t>
    </w:r>
    <w:r w:rsidR="00866BE3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313D7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313D7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F9" w:rsidRDefault="002F46F9">
      <w:r>
        <w:separator/>
      </w:r>
    </w:p>
  </w:footnote>
  <w:footnote w:type="continuationSeparator" w:id="0">
    <w:p w:rsidR="002F46F9" w:rsidRDefault="002F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2F46F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6624" o:spid="_x0000_s2050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450C95">
      <w:t>ČSN EN IEC 60974-1 ed. 5/A1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2F46F9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6625" o:spid="_x0000_s2051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34" w:rsidRDefault="002F46F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6623" o:spid="_x0000_s2049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2F46F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6627" o:spid="_x0000_s2053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A71E72">
      <w:t>ČSN EN IEC 60974-1 ed. 5/A1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2F46F9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6628" o:spid="_x0000_s2054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450C95">
      <w:t>ČSN EN IEC 60974-1 ed. 5/A1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34" w:rsidRDefault="002F46F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6626" o:spid="_x0000_s2052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50FC12F7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9"/>
  </w:num>
  <w:num w:numId="5">
    <w:abstractNumId w:val="10"/>
  </w:num>
  <w:num w:numId="6">
    <w:abstractNumId w:val="21"/>
    <w:lvlOverride w:ilvl="0">
      <w:startOverride w:val="1"/>
    </w:lvlOverride>
  </w:num>
  <w:num w:numId="7">
    <w:abstractNumId w:val="11"/>
  </w:num>
  <w:num w:numId="8">
    <w:abstractNumId w:val="17"/>
  </w:num>
  <w:num w:numId="9">
    <w:abstractNumId w:val="16"/>
  </w:num>
  <w:num w:numId="10">
    <w:abstractNumId w:val="10"/>
    <w:lvlOverride w:ilvl="0">
      <w:startOverride w:val="1"/>
    </w:lvlOverride>
  </w:num>
  <w:num w:numId="11">
    <w:abstractNumId w:val="21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9"/>
  </w:num>
  <w:num w:numId="2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3"/>
    <w:rsid w:val="000D22A5"/>
    <w:rsid w:val="000D7198"/>
    <w:rsid w:val="000D7CC4"/>
    <w:rsid w:val="00103F06"/>
    <w:rsid w:val="00104C1B"/>
    <w:rsid w:val="0013039D"/>
    <w:rsid w:val="0013058D"/>
    <w:rsid w:val="00135415"/>
    <w:rsid w:val="001567EF"/>
    <w:rsid w:val="00194A2B"/>
    <w:rsid w:val="001B1B5E"/>
    <w:rsid w:val="001B63E7"/>
    <w:rsid w:val="00210AAE"/>
    <w:rsid w:val="00231D91"/>
    <w:rsid w:val="00236AFC"/>
    <w:rsid w:val="00283649"/>
    <w:rsid w:val="0028489E"/>
    <w:rsid w:val="002B25EE"/>
    <w:rsid w:val="002D43DF"/>
    <w:rsid w:val="002F46F9"/>
    <w:rsid w:val="002F6A9A"/>
    <w:rsid w:val="00314F2D"/>
    <w:rsid w:val="003313D7"/>
    <w:rsid w:val="00342659"/>
    <w:rsid w:val="0038646B"/>
    <w:rsid w:val="003C701A"/>
    <w:rsid w:val="004069CB"/>
    <w:rsid w:val="00412CB3"/>
    <w:rsid w:val="004159F3"/>
    <w:rsid w:val="00421B22"/>
    <w:rsid w:val="00445C34"/>
    <w:rsid w:val="00450C95"/>
    <w:rsid w:val="004634EE"/>
    <w:rsid w:val="004B223B"/>
    <w:rsid w:val="004C5D55"/>
    <w:rsid w:val="004D39AA"/>
    <w:rsid w:val="00503D98"/>
    <w:rsid w:val="00576ED5"/>
    <w:rsid w:val="005977BE"/>
    <w:rsid w:val="005E3B21"/>
    <w:rsid w:val="005E6EAE"/>
    <w:rsid w:val="006663A1"/>
    <w:rsid w:val="00666FAF"/>
    <w:rsid w:val="006A3382"/>
    <w:rsid w:val="006B04C9"/>
    <w:rsid w:val="006B5765"/>
    <w:rsid w:val="006D2485"/>
    <w:rsid w:val="00734D06"/>
    <w:rsid w:val="00781609"/>
    <w:rsid w:val="007E0F61"/>
    <w:rsid w:val="007E23F0"/>
    <w:rsid w:val="007F27A2"/>
    <w:rsid w:val="007F4A22"/>
    <w:rsid w:val="008072A3"/>
    <w:rsid w:val="00831B2F"/>
    <w:rsid w:val="00837634"/>
    <w:rsid w:val="008638F1"/>
    <w:rsid w:val="00866BE3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71E72"/>
    <w:rsid w:val="00A83D23"/>
    <w:rsid w:val="00A83EAB"/>
    <w:rsid w:val="00A848B2"/>
    <w:rsid w:val="00A90C34"/>
    <w:rsid w:val="00A9146A"/>
    <w:rsid w:val="00AB15EC"/>
    <w:rsid w:val="00B2299D"/>
    <w:rsid w:val="00B607E8"/>
    <w:rsid w:val="00B95524"/>
    <w:rsid w:val="00BB7770"/>
    <w:rsid w:val="00BC1FDE"/>
    <w:rsid w:val="00BE7844"/>
    <w:rsid w:val="00C02CD7"/>
    <w:rsid w:val="00C2107C"/>
    <w:rsid w:val="00C43BC8"/>
    <w:rsid w:val="00C904AB"/>
    <w:rsid w:val="00D35BBC"/>
    <w:rsid w:val="00D53D67"/>
    <w:rsid w:val="00D54402"/>
    <w:rsid w:val="00D64213"/>
    <w:rsid w:val="00D85849"/>
    <w:rsid w:val="00DA1989"/>
    <w:rsid w:val="00DA6CD0"/>
    <w:rsid w:val="00DD4CDC"/>
    <w:rsid w:val="00DE2529"/>
    <w:rsid w:val="00DE412B"/>
    <w:rsid w:val="00E12D49"/>
    <w:rsid w:val="00E157B5"/>
    <w:rsid w:val="00E22981"/>
    <w:rsid w:val="00E54908"/>
    <w:rsid w:val="00E62FAA"/>
    <w:rsid w:val="00E63470"/>
    <w:rsid w:val="00E64DC6"/>
    <w:rsid w:val="00EB1FEE"/>
    <w:rsid w:val="00F34746"/>
    <w:rsid w:val="00F415E7"/>
    <w:rsid w:val="00F74691"/>
    <w:rsid w:val="00F77831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AC28DCBF-5AD9-4ECC-A77C-780A8E0A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4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D7"/>
  </w:style>
  <w:style w:type="paragraph" w:styleId="Nadpis1">
    <w:name w:val="heading 1"/>
    <w:basedOn w:val="Nadpiskapitoly"/>
    <w:next w:val="Textnormy"/>
    <w:link w:val="Nadpis1Char"/>
    <w:qFormat/>
    <w:rsid w:val="003313D7"/>
    <w:pPr>
      <w:outlineLvl w:val="0"/>
    </w:pPr>
  </w:style>
  <w:style w:type="paragraph" w:styleId="Nadpis2">
    <w:name w:val="heading 2"/>
    <w:basedOn w:val="Nadpislnku"/>
    <w:next w:val="Textnormy"/>
    <w:qFormat/>
    <w:rsid w:val="003313D7"/>
    <w:pPr>
      <w:outlineLvl w:val="1"/>
    </w:pPr>
  </w:style>
  <w:style w:type="paragraph" w:styleId="Nadpis3">
    <w:name w:val="heading 3"/>
    <w:basedOn w:val="Nadpislnku"/>
    <w:next w:val="Textnormy"/>
    <w:qFormat/>
    <w:rsid w:val="003313D7"/>
    <w:pPr>
      <w:outlineLvl w:val="2"/>
    </w:pPr>
  </w:style>
  <w:style w:type="paragraph" w:styleId="Nadpis4">
    <w:name w:val="heading 4"/>
    <w:basedOn w:val="Nadpislnku"/>
    <w:next w:val="Textnormy"/>
    <w:qFormat/>
    <w:rsid w:val="003313D7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3313D7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3313D7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3313D7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3313D7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3313D7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3313D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3313D7"/>
  </w:style>
  <w:style w:type="paragraph" w:customStyle="1" w:styleId="Nadpiskapitoly">
    <w:name w:val="Nadpis kapitoly"/>
    <w:basedOn w:val="Nadpislnku"/>
    <w:next w:val="Textnormy"/>
    <w:rsid w:val="003313D7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3313D7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3313D7"/>
    <w:pPr>
      <w:spacing w:after="120"/>
      <w:jc w:val="both"/>
    </w:pPr>
  </w:style>
  <w:style w:type="paragraph" w:customStyle="1" w:styleId="1StrTrZn">
    <w:name w:val="1StrTrZn"/>
    <w:basedOn w:val="Textnormy"/>
    <w:rsid w:val="003313D7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3313D7"/>
    <w:pPr>
      <w:spacing w:before="480"/>
    </w:pPr>
  </w:style>
  <w:style w:type="paragraph" w:customStyle="1" w:styleId="1StrNN-1-23">
    <w:name w:val="1StrNN-1-23"/>
    <w:basedOn w:val="Textnormy"/>
    <w:rsid w:val="003313D7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3313D7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3313D7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3313D7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3313D7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3313D7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3313D7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3313D7"/>
    <w:pPr>
      <w:spacing w:before="0" w:after="120"/>
      <w:ind w:left="284" w:hanging="284"/>
    </w:pPr>
  </w:style>
  <w:style w:type="paragraph" w:styleId="Zhlav">
    <w:name w:val="header"/>
    <w:basedOn w:val="Textnormy"/>
    <w:rsid w:val="003313D7"/>
    <w:pPr>
      <w:spacing w:after="360"/>
    </w:pPr>
    <w:rPr>
      <w:sz w:val="18"/>
    </w:rPr>
  </w:style>
  <w:style w:type="paragraph" w:styleId="Zpat">
    <w:name w:val="footer"/>
    <w:basedOn w:val="Textnormy"/>
    <w:link w:val="ZpatChar"/>
    <w:rsid w:val="003313D7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3313D7"/>
    <w:pPr>
      <w:spacing w:after="120"/>
    </w:pPr>
  </w:style>
  <w:style w:type="paragraph" w:styleId="Obsah2">
    <w:name w:val="toc 2"/>
    <w:basedOn w:val="Obsah1"/>
    <w:next w:val="Textnormy"/>
    <w:uiPriority w:val="39"/>
    <w:rsid w:val="003313D7"/>
  </w:style>
  <w:style w:type="paragraph" w:styleId="Obsah1">
    <w:name w:val="toc 1"/>
    <w:basedOn w:val="Textnormy"/>
    <w:next w:val="Textnormy"/>
    <w:uiPriority w:val="39"/>
    <w:rsid w:val="003313D7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3313D7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3313D7"/>
  </w:style>
  <w:style w:type="paragraph" w:styleId="Obsah4">
    <w:name w:val="toc 4"/>
    <w:basedOn w:val="Obsah1"/>
    <w:next w:val="Textnormy"/>
    <w:uiPriority w:val="39"/>
    <w:rsid w:val="003313D7"/>
  </w:style>
  <w:style w:type="paragraph" w:styleId="Obsah6">
    <w:name w:val="toc 6"/>
    <w:basedOn w:val="Obsah1"/>
    <w:next w:val="Textnormy"/>
    <w:rsid w:val="003313D7"/>
  </w:style>
  <w:style w:type="paragraph" w:styleId="Obsah7">
    <w:name w:val="toc 7"/>
    <w:basedOn w:val="Obsah1"/>
    <w:next w:val="Textnormy"/>
    <w:semiHidden/>
    <w:rsid w:val="003313D7"/>
  </w:style>
  <w:style w:type="paragraph" w:styleId="Obsah8">
    <w:name w:val="toc 8"/>
    <w:basedOn w:val="Obsah1"/>
    <w:next w:val="Textnormy"/>
    <w:semiHidden/>
    <w:rsid w:val="003313D7"/>
  </w:style>
  <w:style w:type="character" w:styleId="Znakapoznpodarou">
    <w:name w:val="footnote reference"/>
    <w:basedOn w:val="Standardnpsmoodstavce"/>
    <w:rsid w:val="003313D7"/>
    <w:rPr>
      <w:vertAlign w:val="superscript"/>
    </w:rPr>
  </w:style>
  <w:style w:type="paragraph" w:customStyle="1" w:styleId="ABCseznamCZ">
    <w:name w:val="ABC seznamCZ"/>
    <w:basedOn w:val="Textnormy"/>
    <w:rsid w:val="003313D7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3313D7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link w:val="SeznamvnormChar"/>
    <w:rsid w:val="003313D7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ormln"/>
    <w:rsid w:val="003313D7"/>
    <w:pPr>
      <w:keepNext/>
      <w:spacing w:after="160"/>
      <w:jc w:val="center"/>
    </w:pPr>
  </w:style>
  <w:style w:type="paragraph" w:customStyle="1" w:styleId="Abecednseznam">
    <w:name w:val="Abecední seznam"/>
    <w:basedOn w:val="Textnormy"/>
    <w:rsid w:val="003313D7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3313D7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3313D7"/>
    <w:pPr>
      <w:ind w:left="1600"/>
    </w:pPr>
  </w:style>
  <w:style w:type="paragraph" w:customStyle="1" w:styleId="1Str1Rad">
    <w:name w:val="1Str1Rad"/>
    <w:basedOn w:val="Textnormy"/>
    <w:rsid w:val="003313D7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3313D7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3313D7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3313D7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3313D7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3313D7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3313D7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3313D7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3313D7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3313D7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3313D7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3313D7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3313D7"/>
    <w:pPr>
      <w:spacing w:before="300"/>
    </w:pPr>
  </w:style>
  <w:style w:type="paragraph" w:customStyle="1" w:styleId="1StrNN-X">
    <w:name w:val="1StrNN-X"/>
    <w:basedOn w:val="1StrNN-1-23"/>
    <w:rsid w:val="003313D7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3313D7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3313D7"/>
    <w:pPr>
      <w:spacing w:before="800"/>
    </w:pPr>
  </w:style>
  <w:style w:type="paragraph" w:customStyle="1" w:styleId="1StrNN-2-4">
    <w:name w:val="1StrNN-2-4"/>
    <w:basedOn w:val="1StrNN-1-23"/>
    <w:rsid w:val="003313D7"/>
  </w:style>
  <w:style w:type="paragraph" w:customStyle="1" w:styleId="1StrNN-3-4">
    <w:name w:val="1StrNN-3-4"/>
    <w:basedOn w:val="1StrNN-1-23"/>
    <w:rsid w:val="003313D7"/>
    <w:pPr>
      <w:spacing w:before="460"/>
    </w:pPr>
  </w:style>
  <w:style w:type="paragraph" w:customStyle="1" w:styleId="1StrNN-4-4">
    <w:name w:val="1StrNN-4-4"/>
    <w:basedOn w:val="1StrNN-1-23"/>
    <w:rsid w:val="003313D7"/>
    <w:pPr>
      <w:spacing w:before="340"/>
    </w:pPr>
  </w:style>
  <w:style w:type="paragraph" w:customStyle="1" w:styleId="ABCSeznamUS">
    <w:name w:val="ABC SeznamUS"/>
    <w:basedOn w:val="Textnormy"/>
    <w:rsid w:val="003313D7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3313D7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3313D7"/>
    <w:pPr>
      <w:jc w:val="left"/>
    </w:pPr>
  </w:style>
  <w:style w:type="paragraph" w:customStyle="1" w:styleId="1StrNN-4-3">
    <w:name w:val="1StrNN-4-3"/>
    <w:basedOn w:val="1StrNN-1-23"/>
    <w:rsid w:val="003313D7"/>
    <w:pPr>
      <w:spacing w:before="160"/>
    </w:pPr>
  </w:style>
  <w:style w:type="paragraph" w:customStyle="1" w:styleId="Upozornn">
    <w:name w:val="Upozornění"/>
    <w:basedOn w:val="Normln"/>
    <w:rsid w:val="003313D7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3313D7"/>
  </w:style>
  <w:style w:type="character" w:styleId="Hypertextovodkaz">
    <w:name w:val="Hyperlink"/>
    <w:unhideWhenUsed/>
    <w:rsid w:val="003313D7"/>
    <w:rPr>
      <w:color w:val="0000FF"/>
      <w:u w:val="single"/>
    </w:rPr>
  </w:style>
  <w:style w:type="table" w:styleId="Mkatabulky">
    <w:name w:val="Table Grid"/>
    <w:basedOn w:val="Normlntabulka"/>
    <w:rsid w:val="003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313D7"/>
    <w:rPr>
      <w:b/>
      <w:sz w:val="24"/>
    </w:rPr>
  </w:style>
  <w:style w:type="character" w:styleId="Odkaznakoment">
    <w:name w:val="annotation reference"/>
    <w:basedOn w:val="Standardnpsmoodstavce"/>
    <w:unhideWhenUsed/>
    <w:rsid w:val="003313D7"/>
    <w:rPr>
      <w:sz w:val="16"/>
      <w:szCs w:val="16"/>
    </w:rPr>
  </w:style>
  <w:style w:type="paragraph" w:styleId="Textbubliny">
    <w:name w:val="Balloon Text"/>
    <w:basedOn w:val="Normln"/>
    <w:link w:val="TextbublinyChar"/>
    <w:rsid w:val="003313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13D7"/>
  </w:style>
  <w:style w:type="character" w:customStyle="1" w:styleId="TextkomenteChar">
    <w:name w:val="Text komentáře Char"/>
    <w:basedOn w:val="Standardnpsmoodstavce"/>
    <w:link w:val="Textkomente"/>
    <w:rsid w:val="003313D7"/>
  </w:style>
  <w:style w:type="character" w:customStyle="1" w:styleId="TextnormyCharChar">
    <w:name w:val="Text normy Char Char"/>
    <w:semiHidden/>
    <w:rsid w:val="003313D7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3313D7"/>
  </w:style>
  <w:style w:type="paragraph" w:customStyle="1" w:styleId="NadpisObr">
    <w:name w:val="NadpisObr"/>
    <w:basedOn w:val="Nadpis4"/>
    <w:next w:val="Textnormy"/>
    <w:qFormat/>
    <w:rsid w:val="003313D7"/>
    <w:pPr>
      <w:keepNext w:val="0"/>
      <w:keepLines w:val="0"/>
      <w:widowControl w:val="0"/>
      <w:jc w:val="center"/>
    </w:pPr>
  </w:style>
  <w:style w:type="paragraph" w:customStyle="1" w:styleId="NadpisTab">
    <w:name w:val="NadpisTab"/>
    <w:basedOn w:val="Nadpis4"/>
    <w:next w:val="Textnormy"/>
    <w:qFormat/>
    <w:rsid w:val="003313D7"/>
    <w:pPr>
      <w:jc w:val="center"/>
    </w:pPr>
  </w:style>
  <w:style w:type="paragraph" w:customStyle="1" w:styleId="NadpisTabObr">
    <w:name w:val="NadpisTabObr"/>
    <w:basedOn w:val="Nadpislnku"/>
    <w:next w:val="Textnormy"/>
    <w:rsid w:val="00BE7844"/>
    <w:pPr>
      <w:keepNext w:val="0"/>
      <w:jc w:val="center"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31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313D7"/>
    <w:rPr>
      <w:b/>
      <w:bCs/>
    </w:rPr>
  </w:style>
  <w:style w:type="character" w:customStyle="1" w:styleId="NadpislnkuChar">
    <w:name w:val="Nadpis článku Char"/>
    <w:link w:val="Nadpislnku"/>
    <w:rsid w:val="003313D7"/>
    <w:rPr>
      <w:b/>
    </w:rPr>
  </w:style>
  <w:style w:type="character" w:styleId="Sledovanodkaz">
    <w:name w:val="FollowedHyperlink"/>
    <w:basedOn w:val="Standardnpsmoodstavce"/>
    <w:semiHidden/>
    <w:unhideWhenUsed/>
    <w:rsid w:val="003313D7"/>
    <w:rPr>
      <w:color w:val="954F72" w:themeColor="followedHyperlink"/>
      <w:u w:val="single"/>
    </w:rPr>
  </w:style>
  <w:style w:type="numbering" w:styleId="111111">
    <w:name w:val="Outline List 2"/>
    <w:basedOn w:val="Bezseznamu"/>
    <w:rsid w:val="00866BE3"/>
    <w:pPr>
      <w:numPr>
        <w:numId w:val="8"/>
      </w:numPr>
    </w:pPr>
  </w:style>
  <w:style w:type="character" w:customStyle="1" w:styleId="SeznamvnormChar">
    <w:name w:val="Seznam v normě Char"/>
    <w:basedOn w:val="TextnormyChar1"/>
    <w:link w:val="Seznamvnorm"/>
    <w:rsid w:val="00866BE3"/>
  </w:style>
  <w:style w:type="character" w:customStyle="1" w:styleId="ZpatChar">
    <w:name w:val="Zápatí Char"/>
    <w:basedOn w:val="Standardnpsmoodstavce"/>
    <w:link w:val="Zpat"/>
    <w:rsid w:val="00450C9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ebstore.iec.ch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2020\Normy20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Normy20i.dotx</Template>
  <TotalTime>3</TotalTime>
  <Pages>6</Pages>
  <Words>986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ČESKÁ TECHNICKÁ NORMA</vt:lpstr>
      <vt:lpstr>Příloha ZZ (informativní)</vt:lpstr>
      <vt:lpstr>Vztah mezi touto evropskou normou a bezpečnostními cíli směrnice 2014/35/EU  [20</vt:lpstr>
    </vt:vector>
  </TitlesOfParts>
  <Company>ÚNMZ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4</cp:revision>
  <cp:lastPrinted>2019-11-29T08:56:00Z</cp:lastPrinted>
  <dcterms:created xsi:type="dcterms:W3CDTF">2020-03-11T07:17:00Z</dcterms:created>
  <dcterms:modified xsi:type="dcterms:W3CDTF">2020-03-11T12:36:00Z</dcterms:modified>
</cp:coreProperties>
</file>