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D70" w:rsidRPr="00244A62" w:rsidRDefault="005E5D70" w:rsidP="00AA7871">
      <w:pPr>
        <w:pStyle w:val="esknorma"/>
      </w:pPr>
      <w:r w:rsidRPr="00244A62">
        <w:t>TECHNICKÁ NORMALIZAČNÍ INFORMACE</w:t>
      </w:r>
      <w:r w:rsidRPr="00244A62">
        <w:rPr>
          <w:noProof/>
        </w:rPr>
        <w:t xml:space="preserve"> </w:t>
      </w:r>
    </w:p>
    <w:p w:rsidR="005E5D70" w:rsidRPr="00244A62" w:rsidRDefault="00C157AE">
      <w:pPr>
        <w:pStyle w:val="1Str1Rad"/>
        <w:spacing w:after="60"/>
        <w:rPr>
          <w:b/>
        </w:rPr>
      </w:pPr>
      <w:r>
        <w:rPr>
          <w:sz w:val="16"/>
        </w:rPr>
        <w:t xml:space="preserve">ICS </w:t>
      </w:r>
      <w:r w:rsidR="00474577" w:rsidRPr="00846188">
        <w:rPr>
          <w:sz w:val="16"/>
        </w:rPr>
        <w:t>91.140.50</w:t>
      </w:r>
      <w:r w:rsidR="005E5D70" w:rsidRPr="00244A62">
        <w:tab/>
      </w:r>
      <w:r w:rsidR="005E5D70" w:rsidRPr="00244A62">
        <w:tab/>
      </w:r>
      <w:r w:rsidR="005E5D70" w:rsidRPr="00244A62">
        <w:rPr>
          <w:b/>
        </w:rPr>
        <w:t>Měsíc</w:t>
      </w:r>
      <w:r w:rsidR="00474577">
        <w:rPr>
          <w:b/>
        </w:rPr>
        <w:t xml:space="preserve"> Rok</w:t>
      </w:r>
    </w:p>
    <w:tbl>
      <w:tblPr>
        <w:tblW w:w="9923" w:type="dxa"/>
        <w:tblBorders>
          <w:top w:val="single" w:sz="12" w:space="0" w:color="auto"/>
          <w:bottom w:val="single" w:sz="12" w:space="0" w:color="auto"/>
        </w:tblBorders>
        <w:tblLayout w:type="fixed"/>
        <w:tblCellMar>
          <w:left w:w="0" w:type="dxa"/>
          <w:right w:w="0" w:type="dxa"/>
        </w:tblCellMar>
        <w:tblLook w:val="0000" w:firstRow="0" w:lastRow="0" w:firstColumn="0" w:lastColumn="0" w:noHBand="0" w:noVBand="0"/>
      </w:tblPr>
      <w:tblGrid>
        <w:gridCol w:w="6804"/>
        <w:gridCol w:w="3119"/>
      </w:tblGrid>
      <w:tr w:rsidR="005E5D70" w:rsidRPr="00244A62" w:rsidTr="00481B79">
        <w:trPr>
          <w:cantSplit/>
          <w:trHeight w:val="1701"/>
        </w:trPr>
        <w:tc>
          <w:tcPr>
            <w:tcW w:w="6804" w:type="dxa"/>
          </w:tcPr>
          <w:p w:rsidR="005E5D70" w:rsidRPr="00244A62" w:rsidRDefault="00474577" w:rsidP="00474577">
            <w:pPr>
              <w:pStyle w:val="1StrNN-4-3"/>
            </w:pPr>
            <w:r w:rsidRPr="00846188">
              <w:t>Vybavení pro měření elektrické energie (AC) – Stupně závažnosti, požadavky na odolnost a zkušební metody pro rušení šířené vedením v kmitočtovém rozsahu 2 kHz až 150 kHz</w:t>
            </w:r>
          </w:p>
        </w:tc>
        <w:tc>
          <w:tcPr>
            <w:tcW w:w="3119" w:type="dxa"/>
          </w:tcPr>
          <w:p w:rsidR="00474577" w:rsidRDefault="00474577" w:rsidP="00474577">
            <w:pPr>
              <w:pStyle w:val="1StrCN"/>
              <w:rPr>
                <w:b w:val="0"/>
                <w:sz w:val="28"/>
              </w:rPr>
            </w:pPr>
            <w:r>
              <w:t>TNI</w:t>
            </w:r>
            <w:r>
              <w:br/>
              <w:t>CLC/TR </w:t>
            </w:r>
            <w:r w:rsidRPr="00846188">
              <w:t>50579</w:t>
            </w:r>
            <w:r>
              <w:br/>
            </w:r>
          </w:p>
          <w:p w:rsidR="005E5D70" w:rsidRPr="00244A62" w:rsidRDefault="00474577" w:rsidP="00474577">
            <w:pPr>
              <w:pStyle w:val="1StrTrZn"/>
            </w:pPr>
            <w:r w:rsidRPr="00846188">
              <w:t>35 6138</w:t>
            </w:r>
          </w:p>
        </w:tc>
      </w:tr>
    </w:tbl>
    <w:p w:rsidR="005E5D70" w:rsidRPr="00244A62" w:rsidRDefault="005E5D70">
      <w:pPr>
        <w:pStyle w:val="Shodnost"/>
      </w:pPr>
    </w:p>
    <w:p w:rsidR="00474577" w:rsidRPr="00846188" w:rsidRDefault="00474577" w:rsidP="00474577">
      <w:pPr>
        <w:pStyle w:val="Cizojazynnzev"/>
      </w:pPr>
      <w:r w:rsidRPr="00846188">
        <w:t>Electricity metering equipment (a.c.) – Severity levels, immunity requirements and test methods for conducted disturbances in the frequency range 2 </w:t>
      </w:r>
      <w:proofErr w:type="gramStart"/>
      <w:r w:rsidRPr="00846188">
        <w:t>kHz</w:t>
      </w:r>
      <w:proofErr w:type="gramEnd"/>
      <w:r w:rsidRPr="00846188">
        <w:t> – 150 kHz</w:t>
      </w:r>
    </w:p>
    <w:p w:rsidR="00474577" w:rsidRPr="00846188" w:rsidRDefault="00474577" w:rsidP="00474577">
      <w:pPr>
        <w:pStyle w:val="Cizojazynnzev"/>
        <w:rPr>
          <w:lang w:val="fr-FR"/>
        </w:rPr>
      </w:pPr>
      <w:r w:rsidRPr="00846188">
        <w:rPr>
          <w:lang w:val="fr-FR"/>
        </w:rPr>
        <w:t>Equipement de comptage d’électricité (c.a.) – Niveaux de sévérité, prescriptions d’immunité et méthodes d’essai</w:t>
      </w:r>
      <w:r w:rsidRPr="00846188">
        <w:rPr>
          <w:lang w:val="fr-FR"/>
        </w:rPr>
        <w:br/>
        <w:t>pour les perturbations conduites dans le domaine de fréquence de 2 kHz à 150 kHz</w:t>
      </w:r>
    </w:p>
    <w:p w:rsidR="00474577" w:rsidRPr="00E14CEF" w:rsidRDefault="00474577" w:rsidP="00474577">
      <w:pPr>
        <w:pStyle w:val="Cizojazynnzev"/>
        <w:spacing w:after="840"/>
        <w:rPr>
          <w:lang w:val="de-DE"/>
        </w:rPr>
      </w:pPr>
      <w:r w:rsidRPr="00846188">
        <w:rPr>
          <w:lang w:val="nl-BE"/>
        </w:rPr>
        <w:t>Wechselstrom-Elektrizitätszähler – Prüfschärfe, Störfestigkeit und Prüfverfahren für leitungsgeführte Störgrößen</w:t>
      </w:r>
      <w:r w:rsidRPr="00846188">
        <w:rPr>
          <w:lang w:val="nl-BE"/>
        </w:rPr>
        <w:br/>
        <w:t>im Frequenzbereich von 2 kHz bis 150 kHz</w:t>
      </w:r>
    </w:p>
    <w:p w:rsidR="005E5D70" w:rsidRPr="00244A62" w:rsidRDefault="00474577" w:rsidP="00474577">
      <w:pPr>
        <w:pStyle w:val="Textnormy"/>
      </w:pPr>
      <w:r>
        <w:t xml:space="preserve">Tato technická normalizační informace přejímá dokument informativního charakteru, technickou zprávu </w:t>
      </w:r>
      <w:r>
        <w:br/>
        <w:t>CLC/TR </w:t>
      </w:r>
      <w:r w:rsidRPr="00846188">
        <w:t>50579:2012</w:t>
      </w:r>
      <w:r>
        <w:t xml:space="preserve">, vypracovaný v souladu s vnitřními předpisy CEN/CENELEC, část 2. Překlad byl zajištěn </w:t>
      </w:r>
      <w:r w:rsidRPr="00F26445">
        <w:rPr>
          <w:rFonts w:cs="Arial"/>
        </w:rPr>
        <w:t>Českou agenturou pro standardizaci</w:t>
      </w:r>
      <w:r>
        <w:t xml:space="preserve">. </w:t>
      </w:r>
      <w:r w:rsidR="005E6642" w:rsidRPr="00244A62">
        <w:rPr>
          <w:noProof/>
        </w:rPr>
        <mc:AlternateContent>
          <mc:Choice Requires="wps">
            <w:drawing>
              <wp:anchor distT="0" distB="0" distL="114300" distR="114300" simplePos="0" relativeHeight="251657728" behindDoc="0" locked="1" layoutInCell="0" allowOverlap="1">
                <wp:simplePos x="0" y="0"/>
                <wp:positionH relativeFrom="page">
                  <wp:posOffset>648335</wp:posOffset>
                </wp:positionH>
                <wp:positionV relativeFrom="page">
                  <wp:posOffset>9685020</wp:posOffset>
                </wp:positionV>
                <wp:extent cx="6299835" cy="635"/>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635"/>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5FD9BD"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5pt,762.6pt" to="547.1pt,7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" o:allowincell="f" strokeweight="1.5pt">
                <v:stroke startarrowwidth="narrow" startarrowlength="short" endarrowwidth="narrow" endarrowlength="short"/>
                <w10:wrap anchorx="page" anchory="page"/>
                <w10:anchorlock/>
              </v:line>
            </w:pict>
          </mc:Fallback>
        </mc:AlternateContent>
      </w:r>
    </w:p>
    <w:p w:rsidR="005E5D70" w:rsidRPr="00244A62" w:rsidRDefault="005E5D70">
      <w:pPr>
        <w:pStyle w:val="Textnormy"/>
        <w:tabs>
          <w:tab w:val="right" w:pos="9923"/>
        </w:tabs>
      </w:pPr>
    </w:p>
    <w:p w:rsidR="005E5D70" w:rsidRPr="00244A62" w:rsidRDefault="005E5D70">
      <w:pPr>
        <w:pStyle w:val="Textnormy"/>
        <w:tabs>
          <w:tab w:val="right" w:pos="9923"/>
        </w:tabs>
        <w:sectPr w:rsidR="005E5D70" w:rsidRPr="00244A62">
          <w:headerReference w:type="even" r:id="rId7"/>
          <w:headerReference w:type="default" r:id="rId8"/>
          <w:footerReference w:type="even" r:id="rId9"/>
          <w:footerReference w:type="default" r:id="rId10"/>
          <w:headerReference w:type="first" r:id="rId11"/>
          <w:footerReference w:type="first" r:id="rId12"/>
          <w:pgSz w:w="11907" w:h="16840" w:code="9"/>
          <w:pgMar w:top="1134" w:right="964" w:bottom="1134" w:left="1021" w:header="708" w:footer="851" w:gutter="0"/>
          <w:pgNumType w:start="1"/>
          <w:cols w:space="708"/>
          <w:titlePg/>
        </w:sectPr>
      </w:pPr>
    </w:p>
    <w:p w:rsidR="00474577" w:rsidRPr="00474577" w:rsidRDefault="00474577" w:rsidP="00474577">
      <w:pPr>
        <w:pStyle w:val="Nadpiskapitoly"/>
        <w:spacing w:before="0"/>
      </w:pPr>
      <w:r w:rsidRPr="00474577">
        <w:lastRenderedPageBreak/>
        <w:t>Národní předmluva</w:t>
      </w:r>
    </w:p>
    <w:p w:rsidR="00474577" w:rsidRPr="00474577" w:rsidRDefault="00474577" w:rsidP="00D1464A">
      <w:pPr>
        <w:pStyle w:val="Nadpislnku"/>
      </w:pPr>
      <w:r w:rsidRPr="00474577">
        <w:t>Upozornění na používání této TNI</w:t>
      </w:r>
    </w:p>
    <w:p w:rsidR="00474577" w:rsidRPr="00474577" w:rsidRDefault="00474577" w:rsidP="00474577">
      <w:pPr>
        <w:pStyle w:val="Textnormy"/>
      </w:pPr>
      <w:r w:rsidRPr="00474577">
        <w:t>Technická zpráva (TR) je dokument informativního charakteru zpřístupněný CEN/CENELEC</w:t>
      </w:r>
      <w:r w:rsidR="00755D85">
        <w:t xml:space="preserve"> nejméně v jednom z oficiálních jazyků</w:t>
      </w:r>
      <w:r w:rsidRPr="00474577">
        <w:t>, vypracovaný technickými orgány a schválený prostou většinou hlasů národních členů CEN/CENELEC. Technická zpráva poskytuje informace o </w:t>
      </w:r>
      <w:r w:rsidR="00755D85">
        <w:t>technickém obsahu</w:t>
      </w:r>
      <w:r w:rsidR="00755D85" w:rsidRPr="00474577">
        <w:t xml:space="preserve"> </w:t>
      </w:r>
      <w:r w:rsidRPr="00474577">
        <w:t>normalizačních prací.</w:t>
      </w:r>
    </w:p>
    <w:p w:rsidR="00474577" w:rsidRPr="00474577" w:rsidRDefault="00474577" w:rsidP="00474577">
      <w:pPr>
        <w:pStyle w:val="Textnormy"/>
      </w:pPr>
      <w:r w:rsidRPr="00474577">
        <w:t xml:space="preserve">Technická zpráva se vydává v případech, kdy se považuje za naléhavé </w:t>
      </w:r>
      <w:r w:rsidR="00755D85">
        <w:t xml:space="preserve">nebo vhodné </w:t>
      </w:r>
      <w:r w:rsidRPr="00474577">
        <w:t xml:space="preserve">poskytnout informace </w:t>
      </w:r>
      <w:r w:rsidR="00A93952">
        <w:br/>
      </w:r>
      <w:r w:rsidRPr="00474577">
        <w:t>národním členům CEN/CENELEC, Evropské komisi, sekretariátu ESVO</w:t>
      </w:r>
      <w:r w:rsidR="00755D85">
        <w:t>,</w:t>
      </w:r>
      <w:r w:rsidRPr="00474577">
        <w:t xml:space="preserve"> </w:t>
      </w:r>
      <w:r w:rsidR="00755D85">
        <w:t>evropským</w:t>
      </w:r>
      <w:r w:rsidRPr="00474577">
        <w:t xml:space="preserve"> agenturám nebo externím orgánům na základě dat jiného druhu (získaných např. průzkumem) než ta, která se obvykle publikují jako EN.</w:t>
      </w:r>
    </w:p>
    <w:p w:rsidR="00474577" w:rsidRPr="00474577" w:rsidRDefault="00474577" w:rsidP="00474577">
      <w:pPr>
        <w:pStyle w:val="Textnormy"/>
      </w:pPr>
      <w:r w:rsidRPr="00474577">
        <w:t>K technické zprávě se nevydávají změny, ale v případě nutnosti se nahrazuje novým vydáním. Možné jsou však opravy vydávané Řídicím centrem CEN-CENELEC.</w:t>
      </w:r>
    </w:p>
    <w:p w:rsidR="00474577" w:rsidRPr="00474577" w:rsidRDefault="00474577" w:rsidP="00474577">
      <w:pPr>
        <w:pStyle w:val="Textnormy"/>
      </w:pPr>
      <w:r w:rsidRPr="00474577">
        <w:t>Národní normalizační orgán nemá povinnost technickou zprávu oznamovat na národní úrovni.</w:t>
      </w:r>
    </w:p>
    <w:p w:rsidR="00474577" w:rsidRPr="00474577" w:rsidRDefault="00474577" w:rsidP="00474577">
      <w:pPr>
        <w:pStyle w:val="Nadpislnku"/>
      </w:pPr>
      <w:r w:rsidRPr="00474577">
        <w:t>Informace o citovaných dokumentech</w:t>
      </w:r>
    </w:p>
    <w:p w:rsidR="00474577" w:rsidRPr="00474577" w:rsidRDefault="00474577" w:rsidP="00474577">
      <w:pPr>
        <w:pStyle w:val="Textnormy"/>
      </w:pPr>
      <w:r>
        <w:t>EN 50470-1</w:t>
      </w:r>
      <w:r>
        <w:t> </w:t>
      </w:r>
      <w:r w:rsidRPr="00474577">
        <w:t>zavedena v ČSN EN 50470-1 (35 6137) Vybavení pro měření elektrické energie (AC) – Část 1: Všeobecné požadavky, zkoušky a zkušební podmínky – Měřicí zařízení (třídy A, B a C)</w:t>
      </w:r>
    </w:p>
    <w:p w:rsidR="00474577" w:rsidRPr="00474577" w:rsidRDefault="00474577" w:rsidP="00474577">
      <w:pPr>
        <w:pStyle w:val="Textnormy"/>
      </w:pPr>
      <w:r>
        <w:t>EN 50470-3:2006</w:t>
      </w:r>
      <w:r>
        <w:t> </w:t>
      </w:r>
      <w:r w:rsidRPr="00474577">
        <w:t>zavedena v ČSN 50470-3:2007 (35 6137) Vybavení pro měření elektrické energie (AC) – Část 3: Zvláštní požadavky – Statické činné elektroměry (třídy A, B a C)</w:t>
      </w:r>
    </w:p>
    <w:p w:rsidR="00474577" w:rsidRPr="00474577" w:rsidRDefault="00474577" w:rsidP="00474577">
      <w:pPr>
        <w:pStyle w:val="Nadpislnku"/>
      </w:pPr>
      <w:r w:rsidRPr="00474577">
        <w:t>Souvisící ČSN</w:t>
      </w:r>
    </w:p>
    <w:p w:rsidR="00474577" w:rsidRPr="00474577" w:rsidRDefault="00474577" w:rsidP="00474577">
      <w:pPr>
        <w:pStyle w:val="Textnormy"/>
      </w:pPr>
      <w:r>
        <w:t>ČSN EN 60044-1 (35 1358)</w:t>
      </w:r>
      <w:r>
        <w:t> </w:t>
      </w:r>
      <w:r w:rsidRPr="00474577">
        <w:t>Přístrojové transformátory – Část 1: Transformátory proudu</w:t>
      </w:r>
    </w:p>
    <w:p w:rsidR="00474577" w:rsidRPr="00474577" w:rsidRDefault="00474577" w:rsidP="00474577">
      <w:pPr>
        <w:pStyle w:val="Nadpislnku"/>
      </w:pPr>
      <w:r w:rsidRPr="00474577">
        <w:t>Vysvětlivky k textu této TNI</w:t>
      </w:r>
    </w:p>
    <w:p w:rsidR="00474577" w:rsidRPr="00474577" w:rsidRDefault="00474577" w:rsidP="00474577">
      <w:pPr>
        <w:pStyle w:val="Textnormy"/>
      </w:pPr>
      <w:r w:rsidRPr="00474577">
        <w:rPr>
          <w:rFonts w:cs="Arial"/>
        </w:rPr>
        <w:t xml:space="preserve">V případě nedatovaných odkazů na evropské/mezinárodní normy jsou ČSN uvedené v článcích „Informace </w:t>
      </w:r>
      <w:r>
        <w:rPr>
          <w:rFonts w:cs="Arial"/>
        </w:rPr>
        <w:br/>
      </w:r>
      <w:r w:rsidRPr="00474577">
        <w:rPr>
          <w:rFonts w:cs="Arial"/>
        </w:rPr>
        <w:t xml:space="preserve">o citovaných dokumentech“ a „Souvisící ČSN“ nejnovějšími vydáními, platnými v době schválení této TNI. Při používání této </w:t>
      </w:r>
      <w:proofErr w:type="gramStart"/>
      <w:r w:rsidRPr="00474577">
        <w:rPr>
          <w:rFonts w:cs="Arial"/>
        </w:rPr>
        <w:t>TNI je</w:t>
      </w:r>
      <w:proofErr w:type="gramEnd"/>
      <w:r w:rsidRPr="00474577">
        <w:rPr>
          <w:rFonts w:cs="Arial"/>
        </w:rPr>
        <w:t xml:space="preserve"> třeba vždy použít taková vydání ČSN, která přejímají nejnovější vydání nedatovaných </w:t>
      </w:r>
      <w:r>
        <w:rPr>
          <w:rFonts w:cs="Arial"/>
        </w:rPr>
        <w:br/>
      </w:r>
      <w:r w:rsidRPr="00474577">
        <w:rPr>
          <w:rFonts w:cs="Arial"/>
        </w:rPr>
        <w:t>evropských/mezinárodních norem (včetně všech změn).</w:t>
      </w:r>
    </w:p>
    <w:p w:rsidR="00474577" w:rsidRPr="00474577" w:rsidRDefault="00474577" w:rsidP="00474577">
      <w:pPr>
        <w:pStyle w:val="Nadpislnku"/>
      </w:pPr>
      <w:r w:rsidRPr="00474577">
        <w:t>Upozornění na národní poznámky</w:t>
      </w:r>
    </w:p>
    <w:p w:rsidR="00474577" w:rsidRPr="00474577" w:rsidRDefault="00474577" w:rsidP="00474577">
      <w:pPr>
        <w:pStyle w:val="Textnormy"/>
      </w:pPr>
      <w:r w:rsidRPr="00474577">
        <w:t xml:space="preserve">Do </w:t>
      </w:r>
      <w:proofErr w:type="gramStart"/>
      <w:r w:rsidRPr="00474577">
        <w:t>TNI byly</w:t>
      </w:r>
      <w:proofErr w:type="gramEnd"/>
      <w:r w:rsidRPr="00474577">
        <w:t xml:space="preserve"> ke kapitole </w:t>
      </w:r>
      <w:smartTag w:uri="urn:schemas-microsoft-com:office:smarttags" w:element="metricconverter">
        <w:smartTagPr>
          <w:attr w:name="ProductID" w:val="1 a"/>
        </w:smartTagPr>
        <w:r w:rsidRPr="00474577">
          <w:t>1 a</w:t>
        </w:r>
      </w:smartTag>
      <w:r w:rsidRPr="00474577">
        <w:t xml:space="preserve"> příloze A doplněny vysvětlující národní poznámky.</w:t>
      </w:r>
    </w:p>
    <w:p w:rsidR="00474577" w:rsidRPr="00474577" w:rsidRDefault="00474577" w:rsidP="00474577">
      <w:pPr>
        <w:pStyle w:val="Nadpislnku"/>
      </w:pPr>
      <w:r w:rsidRPr="00474577">
        <w:t>Vypracování TNI</w:t>
      </w:r>
    </w:p>
    <w:p w:rsidR="00474577" w:rsidRPr="00474577" w:rsidRDefault="00474577" w:rsidP="00474577">
      <w:pPr>
        <w:pStyle w:val="Textnormy"/>
      </w:pPr>
      <w:r w:rsidRPr="00474577">
        <w:t>Zpracovatel: Jaroslav Šmíd – NELKO TANVALD, IČO 63136791, Ing. Jaroslav Šmíd, CSc.</w:t>
      </w:r>
    </w:p>
    <w:p w:rsidR="00474577" w:rsidRPr="00474577" w:rsidRDefault="00474577" w:rsidP="00474577">
      <w:pPr>
        <w:pStyle w:val="Textnormy"/>
      </w:pPr>
      <w:r w:rsidRPr="00474577">
        <w:t>Technická normalizační komise: TNK 56 Elektrické měřicí přístroje</w:t>
      </w:r>
    </w:p>
    <w:p w:rsidR="00474577" w:rsidRPr="00474577" w:rsidRDefault="00474577" w:rsidP="00474577">
      <w:pPr>
        <w:pStyle w:val="Textnormy"/>
      </w:pPr>
      <w:r w:rsidRPr="00474577">
        <w:t>Pracovník České agentury pro standardizaci: Tomáš Pech</w:t>
      </w:r>
    </w:p>
    <w:p w:rsidR="00474577" w:rsidRPr="00474577" w:rsidRDefault="00474577" w:rsidP="00474577">
      <w:pPr>
        <w:pStyle w:val="Textnormy"/>
      </w:pPr>
      <w:r w:rsidRPr="00474577">
        <w:rPr>
          <w:rFonts w:cs="Arial"/>
          <w:color w:val="000000"/>
        </w:rPr>
        <w:t>Česká agentura pro standardizaci je státní příspěvková organizace zřízená Úřadem pro technickou normalizaci, metrologii a státní zkušebnictví na základě ustanovení § 5 odst. 2 zákona č. 22/1997 Sb., o technických požadavcích na výrobky a o změně a doplnění některých zákonů, ve znění pozdějších předpisů.</w:t>
      </w:r>
    </w:p>
    <w:p w:rsidR="00474577" w:rsidRPr="00474577" w:rsidRDefault="00474577" w:rsidP="00D1464A">
      <w:pPr>
        <w:pStyle w:val="EvropNorma"/>
        <w:tabs>
          <w:tab w:val="clear" w:pos="8505"/>
          <w:tab w:val="left" w:pos="8222"/>
        </w:tabs>
        <w:rPr>
          <w:b w:val="0"/>
          <w:kern w:val="0"/>
          <w:sz w:val="20"/>
        </w:rPr>
      </w:pPr>
      <w:r w:rsidRPr="00474577">
        <w:rPr>
          <w:kern w:val="0"/>
        </w:rPr>
        <w:lastRenderedPageBreak/>
        <w:t>TECHNICKÁ ZPRÁVA</w:t>
      </w:r>
      <w:r w:rsidRPr="00474577">
        <w:rPr>
          <w:kern w:val="0"/>
        </w:rPr>
        <w:tab/>
        <w:t>CLC/TR 50579</w:t>
      </w:r>
      <w:r w:rsidRPr="00474577">
        <w:rPr>
          <w:kern w:val="0"/>
        </w:rPr>
        <w:br/>
        <w:t>TECHNICAL REPORT</w:t>
      </w:r>
      <w:r w:rsidRPr="00474577">
        <w:rPr>
          <w:kern w:val="0"/>
        </w:rPr>
        <w:br/>
        <w:t>RAPPORT TECHNIQUE</w:t>
      </w:r>
      <w:r w:rsidRPr="00474577">
        <w:rPr>
          <w:kern w:val="0"/>
        </w:rPr>
        <w:br/>
        <w:t>TECHNISCHER BERICHT</w:t>
      </w:r>
      <w:r w:rsidRPr="00474577">
        <w:rPr>
          <w:kern w:val="0"/>
        </w:rPr>
        <w:tab/>
      </w:r>
      <w:r w:rsidRPr="00474577">
        <w:rPr>
          <w:b w:val="0"/>
          <w:kern w:val="0"/>
          <w:sz w:val="20"/>
        </w:rPr>
        <w:t>Červen 2012</w:t>
      </w:r>
    </w:p>
    <w:p w:rsidR="00474577" w:rsidRPr="00474577" w:rsidRDefault="00474577" w:rsidP="00474577">
      <w:pPr>
        <w:pStyle w:val="ICS"/>
        <w:rPr>
          <w:kern w:val="0"/>
        </w:rPr>
      </w:pPr>
      <w:r w:rsidRPr="00474577">
        <w:rPr>
          <w:kern w:val="0"/>
        </w:rPr>
        <w:t>ICS 91.140.50</w:t>
      </w:r>
      <w:r w:rsidR="00D1464A">
        <w:rPr>
          <w:kern w:val="0"/>
        </w:rPr>
        <w:tab/>
      </w:r>
    </w:p>
    <w:p w:rsidR="00474577" w:rsidRPr="00474577" w:rsidRDefault="00474577" w:rsidP="00474577">
      <w:pPr>
        <w:pStyle w:val="NzNorCZ"/>
      </w:pPr>
      <w:r w:rsidRPr="00474577">
        <w:t xml:space="preserve">Vybavení pro měření elektrické energie (AC) – </w:t>
      </w:r>
      <w:r w:rsidRPr="00474577">
        <w:br/>
        <w:t>Stupně závažnosti, požadavky na odolnost a zkušební metody pro rušení šířené vedením v kmitočtovém rozsahu 2 kHz až 150 kHz</w:t>
      </w:r>
    </w:p>
    <w:p w:rsidR="00474577" w:rsidRPr="00474577" w:rsidRDefault="00474577" w:rsidP="00474577">
      <w:pPr>
        <w:pStyle w:val="NzNorUS"/>
      </w:pPr>
      <w:r w:rsidRPr="00474577">
        <w:t xml:space="preserve">Electricity metering equipment (a.c.) – </w:t>
      </w:r>
      <w:r w:rsidRPr="00474577">
        <w:br/>
        <w:t>Severity levels, immunity requirements and test methods for conducted disturbances in the frequency range 2 kHz – 150 kHz</w:t>
      </w:r>
    </w:p>
    <w:tbl>
      <w:tblPr>
        <w:tblW w:w="9922" w:type="dxa"/>
        <w:jc w:val="center"/>
        <w:tblLayout w:type="fixed"/>
        <w:tblCellMar>
          <w:left w:w="0" w:type="dxa"/>
          <w:right w:w="0" w:type="dxa"/>
        </w:tblCellMar>
        <w:tblLook w:val="0000" w:firstRow="0" w:lastRow="0" w:firstColumn="0" w:lastColumn="0" w:noHBand="0" w:noVBand="0"/>
      </w:tblPr>
      <w:tblGrid>
        <w:gridCol w:w="4961"/>
        <w:gridCol w:w="4961"/>
      </w:tblGrid>
      <w:tr w:rsidR="00474577" w:rsidRPr="00474577" w:rsidTr="005E2BF3">
        <w:trPr>
          <w:jc w:val="center"/>
        </w:trPr>
        <w:tc>
          <w:tcPr>
            <w:tcW w:w="4961" w:type="dxa"/>
          </w:tcPr>
          <w:p w:rsidR="00474577" w:rsidRPr="00474577" w:rsidRDefault="00474577" w:rsidP="005E2BF3">
            <w:pPr>
              <w:pStyle w:val="NzNorFraGer"/>
              <w:ind w:right="141"/>
            </w:pPr>
            <w:r w:rsidRPr="00474577">
              <w:t xml:space="preserve">Equipement de comptage d’électricité (c.a.) – </w:t>
            </w:r>
            <w:r w:rsidRPr="00474577">
              <w:br/>
              <w:t>Niveaux de sévérité, prescriptions d’immunité et méthodes d’essai pour les perturbations conduites dans le domaine de fréquence de 2 kHz à 150 kHz</w:t>
            </w:r>
          </w:p>
        </w:tc>
        <w:tc>
          <w:tcPr>
            <w:tcW w:w="4961" w:type="dxa"/>
          </w:tcPr>
          <w:p w:rsidR="00474577" w:rsidRPr="00474577" w:rsidRDefault="00474577" w:rsidP="005E2BF3">
            <w:pPr>
              <w:pStyle w:val="NzNorFraGer"/>
            </w:pPr>
            <w:r w:rsidRPr="00474577">
              <w:t xml:space="preserve">Wechselstrom-Elektrizitätszähler – </w:t>
            </w:r>
            <w:r w:rsidRPr="00474577">
              <w:br/>
              <w:t>Prüfschärfe, Störfestigkeit und Prüfverfahren für leitungsgeführte Störgrößen im Frequenzbereich von 2 kHz bis 150 kHz</w:t>
            </w:r>
          </w:p>
        </w:tc>
      </w:tr>
    </w:tbl>
    <w:p w:rsidR="00474577" w:rsidRPr="00474577" w:rsidRDefault="00474577" w:rsidP="00474577">
      <w:pPr>
        <w:pStyle w:val="Textnormy"/>
      </w:pPr>
      <w:r w:rsidRPr="00474577">
        <w:t xml:space="preserve">Tato technická zpráva byla schválena CENELEC dne 2012-06-04. </w:t>
      </w:r>
    </w:p>
    <w:p w:rsidR="00474577" w:rsidRPr="00474577" w:rsidRDefault="00474577" w:rsidP="00474577">
      <w:pPr>
        <w:pStyle w:val="Textnormy"/>
      </w:pPr>
      <w:r w:rsidRPr="00474577">
        <w:t>Členy CENELEC jsou národní normalizační orgány Belgie, Bulharska, České republiky, Dánska, Estonska,</w:t>
      </w:r>
      <w:r w:rsidR="00D1464A">
        <w:br/>
      </w:r>
      <w:r w:rsidRPr="00474577">
        <w:t>Finska, Francie, Chorvatska, Irska, Islandu, Itálie, Kypru, Litvy, Lotyšska, Lucemburska, Maďarska, Malty,</w:t>
      </w:r>
      <w:r w:rsidR="00D1464A">
        <w:br/>
      </w:r>
      <w:r w:rsidRPr="00474577">
        <w:t xml:space="preserve">Německa, Nizozemska, Norska, Polska, Portugalska, Rakouska, </w:t>
      </w:r>
      <w:r w:rsidR="005025A7">
        <w:t xml:space="preserve">Republiky Severní Makedonie, </w:t>
      </w:r>
      <w:r w:rsidRPr="00474577">
        <w:t>Rumunska, Řecka, Slovenska, Slovinska, Spojeného království, Srbska, Španělska, Švédska, Švýcarska a Turecka.</w:t>
      </w:r>
    </w:p>
    <w:p w:rsidR="00474577" w:rsidRPr="00474577" w:rsidRDefault="00D1464A" w:rsidP="00474577">
      <w:pPr>
        <w:pStyle w:val="Textnormy"/>
        <w:framePr w:hSpace="142" w:wrap="around" w:hAnchor="page" w:x="1022" w:yAlign="bottom"/>
        <w:spacing w:before="60" w:after="0"/>
        <w:jc w:val="center"/>
        <w:rPr>
          <w:sz w:val="24"/>
        </w:rPr>
      </w:pPr>
      <w:r>
        <w:rPr>
          <w:sz w:val="24"/>
        </w:rPr>
        <w:t xml:space="preserve"> </w:t>
      </w:r>
      <w:r w:rsidR="00474577" w:rsidRPr="00474577">
        <w:rPr>
          <w:b/>
          <w:noProof/>
          <w:sz w:val="24"/>
        </w:rPr>
        <w:drawing>
          <wp:inline distT="0" distB="0" distL="0" distR="0">
            <wp:extent cx="1226820" cy="58674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2763" r="2763" b="5762"/>
                    <a:stretch>
                      <a:fillRect/>
                    </a:stretch>
                  </pic:blipFill>
                  <pic:spPr bwMode="auto">
                    <a:xfrm>
                      <a:off x="0" y="0"/>
                      <a:ext cx="1226820" cy="586740"/>
                    </a:xfrm>
                    <a:prstGeom prst="rect">
                      <a:avLst/>
                    </a:prstGeom>
                    <a:noFill/>
                    <a:ln>
                      <a:noFill/>
                    </a:ln>
                  </pic:spPr>
                </pic:pic>
              </a:graphicData>
            </a:graphic>
          </wp:inline>
        </w:drawing>
      </w:r>
      <w:r w:rsidR="00474577" w:rsidRPr="00474577">
        <w:rPr>
          <w:sz w:val="24"/>
        </w:rPr>
        <w:t xml:space="preserve"> </w:t>
      </w:r>
    </w:p>
    <w:p w:rsidR="00474577" w:rsidRPr="00474577" w:rsidRDefault="00474577" w:rsidP="00474577">
      <w:pPr>
        <w:pStyle w:val="Textnormy"/>
        <w:framePr w:hSpace="142" w:wrap="around" w:hAnchor="page" w:x="1022" w:yAlign="bottom"/>
        <w:spacing w:before="60" w:after="0"/>
        <w:jc w:val="center"/>
        <w:rPr>
          <w:b/>
        </w:rPr>
      </w:pPr>
      <w:r w:rsidRPr="00474577">
        <w:rPr>
          <w:b/>
        </w:rPr>
        <w:t>Evropský výbor pro normalizaci v elektrotechnice</w:t>
      </w:r>
    </w:p>
    <w:p w:rsidR="00474577" w:rsidRPr="00474577" w:rsidRDefault="00474577" w:rsidP="00474577">
      <w:pPr>
        <w:pStyle w:val="Textnormy"/>
        <w:framePr w:hSpace="142" w:wrap="around" w:hAnchor="page" w:x="1022" w:yAlign="bottom"/>
        <w:spacing w:before="60" w:after="0"/>
        <w:jc w:val="center"/>
        <w:rPr>
          <w:b/>
          <w:noProof/>
        </w:rPr>
      </w:pPr>
      <w:r w:rsidRPr="00474577">
        <w:rPr>
          <w:b/>
          <w:noProof/>
        </w:rPr>
        <w:t>European Committee for Electrotechnical Standardization</w:t>
      </w:r>
    </w:p>
    <w:p w:rsidR="00474577" w:rsidRPr="00474577" w:rsidRDefault="00474577" w:rsidP="00474577">
      <w:pPr>
        <w:pStyle w:val="Textnormy"/>
        <w:framePr w:hSpace="142" w:wrap="around" w:hAnchor="page" w:x="1022" w:yAlign="bottom"/>
        <w:spacing w:before="60" w:after="0"/>
        <w:jc w:val="center"/>
        <w:rPr>
          <w:b/>
          <w:noProof/>
        </w:rPr>
      </w:pPr>
      <w:r w:rsidRPr="00474577">
        <w:rPr>
          <w:b/>
          <w:noProof/>
        </w:rPr>
        <w:t>Comité Européen de Normalisation Electrotechnique</w:t>
      </w:r>
    </w:p>
    <w:p w:rsidR="00474577" w:rsidRPr="00474577" w:rsidRDefault="00474577" w:rsidP="00474577">
      <w:pPr>
        <w:pStyle w:val="Textnormy"/>
        <w:framePr w:hSpace="142" w:wrap="around" w:hAnchor="page" w:x="1022" w:yAlign="bottom"/>
        <w:spacing w:before="60" w:after="0"/>
        <w:jc w:val="center"/>
        <w:rPr>
          <w:b/>
          <w:noProof/>
        </w:rPr>
      </w:pPr>
      <w:r w:rsidRPr="00474577">
        <w:rPr>
          <w:b/>
          <w:noProof/>
        </w:rPr>
        <w:t>Europäisches Komitee für Elektrotechnische Normung</w:t>
      </w:r>
    </w:p>
    <w:p w:rsidR="00474577" w:rsidRPr="00474577" w:rsidRDefault="00474577" w:rsidP="00474577">
      <w:pPr>
        <w:pStyle w:val="Textnormy"/>
        <w:framePr w:hSpace="142" w:wrap="around" w:hAnchor="page" w:x="1022" w:yAlign="bottom"/>
        <w:spacing w:before="120" w:after="240"/>
        <w:jc w:val="center"/>
        <w:rPr>
          <w:b/>
        </w:rPr>
      </w:pPr>
      <w:r w:rsidRPr="00474577">
        <w:rPr>
          <w:b/>
        </w:rPr>
        <w:t xml:space="preserve">Řídicí centrum CEN-CENELEC: </w:t>
      </w:r>
      <w:r w:rsidRPr="00474577">
        <w:rPr>
          <w:rFonts w:cs="Arial"/>
          <w:b/>
          <w:color w:val="000000"/>
        </w:rPr>
        <w:t>Rue de la Science 23</w:t>
      </w:r>
      <w:r w:rsidRPr="00474577">
        <w:rPr>
          <w:b/>
        </w:rPr>
        <w:t>, B-1040 Brusel</w:t>
      </w:r>
    </w:p>
    <w:p w:rsidR="00474577" w:rsidRPr="00D1464A" w:rsidRDefault="00474577" w:rsidP="00D1464A">
      <w:pPr>
        <w:pStyle w:val="Poznmka"/>
        <w:framePr w:hSpace="142" w:wrap="around" w:hAnchor="page" w:x="1022" w:yAlign="bottom"/>
        <w:pBdr>
          <w:top w:val="single" w:sz="6" w:space="6" w:color="auto"/>
        </w:pBdr>
        <w:tabs>
          <w:tab w:val="left" w:pos="7513"/>
          <w:tab w:val="right" w:pos="9923"/>
        </w:tabs>
        <w:spacing w:before="0" w:after="0"/>
        <w:ind w:left="1985" w:hanging="1985"/>
        <w:jc w:val="left"/>
      </w:pPr>
      <w:r w:rsidRPr="00474577">
        <w:sym w:font="Times New Roman" w:char="00A9"/>
      </w:r>
      <w:r w:rsidRPr="00474577">
        <w:t xml:space="preserve"> 2012 CENELEC</w:t>
      </w:r>
      <w:r w:rsidRPr="00474577">
        <w:tab/>
        <w:t xml:space="preserve">Veškerá práva pro využití v jakékoliv formě a jakýmikoliv prostředky </w:t>
      </w:r>
      <w:r w:rsidRPr="00474577">
        <w:br/>
        <w:t>jsou celosv</w:t>
      </w:r>
      <w:r w:rsidR="00D1464A">
        <w:t>ětově vyhrazena členům CENELEC.</w:t>
      </w:r>
      <w:r w:rsidR="00D1464A">
        <w:br/>
      </w:r>
      <w:r w:rsidR="00D1464A">
        <w:tab/>
      </w:r>
      <w:r w:rsidRPr="00474577">
        <w:t>Ref. č. CLC/TR 50579:2012 E</w:t>
      </w:r>
    </w:p>
    <w:p w:rsidR="00474577" w:rsidRPr="00474577" w:rsidRDefault="00474577" w:rsidP="00474577">
      <w:pPr>
        <w:pStyle w:val="Textnormy"/>
      </w:pPr>
    </w:p>
    <w:p w:rsidR="00474577" w:rsidRPr="00474577" w:rsidRDefault="00474577" w:rsidP="00474577">
      <w:pPr>
        <w:pStyle w:val="Nadpiskapitoly"/>
        <w:pageBreakBefore/>
        <w:spacing w:before="0"/>
      </w:pPr>
      <w:bookmarkStart w:id="0" w:name="_Toc359251362"/>
      <w:bookmarkStart w:id="1" w:name="_Toc359251520"/>
      <w:bookmarkStart w:id="2" w:name="_Toc359251680"/>
      <w:bookmarkStart w:id="3" w:name="_Toc359251937"/>
      <w:bookmarkStart w:id="4" w:name="_Toc359252126"/>
      <w:bookmarkStart w:id="5" w:name="_Toc359252241"/>
      <w:bookmarkStart w:id="6" w:name="_Toc359252484"/>
      <w:bookmarkStart w:id="7" w:name="_Toc359252724"/>
      <w:bookmarkStart w:id="8" w:name="_Toc359252845"/>
      <w:bookmarkStart w:id="9" w:name="_Toc359252919"/>
      <w:bookmarkStart w:id="10" w:name="_Toc359283645"/>
      <w:bookmarkStart w:id="11" w:name="_Toc365965545"/>
      <w:bookmarkStart w:id="12" w:name="_Toc365967312"/>
      <w:bookmarkStart w:id="13" w:name="_Toc365968759"/>
      <w:bookmarkStart w:id="14" w:name="_Toc367082924"/>
      <w:bookmarkStart w:id="15" w:name="_Toc372429539"/>
      <w:bookmarkStart w:id="16" w:name="_Toc375302773"/>
      <w:bookmarkStart w:id="17" w:name="_Toc379098930"/>
      <w:r w:rsidRPr="00474577">
        <w:t>Obsah</w:t>
      </w:r>
    </w:p>
    <w:p w:rsidR="00474577" w:rsidRPr="00474577" w:rsidRDefault="00474577" w:rsidP="00474577">
      <w:pPr>
        <w:pStyle w:val="Textnormy"/>
        <w:ind w:right="-1"/>
        <w:jc w:val="right"/>
        <w:rPr>
          <w:sz w:val="18"/>
        </w:rPr>
      </w:pPr>
      <w:r w:rsidRPr="00474577">
        <w:rPr>
          <w:sz w:val="18"/>
        </w:rPr>
        <w:t>Strana</w:t>
      </w:r>
    </w:p>
    <w:bookmarkStart w:id="18" w:name="_Toc380735103"/>
    <w:bookmarkStart w:id="19" w:name="_Toc380735203"/>
    <w:bookmarkStart w:id="20" w:name="_Toc380825387"/>
    <w:bookmarkStart w:id="21" w:name="_Toc380827276"/>
    <w:bookmarkStart w:id="22" w:name="_Toc380886222"/>
    <w:bookmarkStart w:id="23" w:name="_Toc380886260"/>
    <w:bookmarkStart w:id="24" w:name="_Toc380886467"/>
    <w:p w:rsidR="00474577" w:rsidRPr="00474577" w:rsidRDefault="00474577" w:rsidP="00474577">
      <w:pPr>
        <w:pStyle w:val="Obsah1"/>
      </w:pPr>
      <w:r w:rsidRPr="00474577">
        <w:fldChar w:fldCharType="begin"/>
      </w:r>
      <w:r w:rsidRPr="00474577">
        <w:instrText xml:space="preserve"> TOC \o "1-3" </w:instrText>
      </w:r>
      <w:r w:rsidRPr="00474577">
        <w:fldChar w:fldCharType="separate"/>
      </w:r>
      <w:r w:rsidR="00A93952">
        <w:t>Evropská př</w:t>
      </w:r>
      <w:r w:rsidRPr="00474577">
        <w:t>edmluva</w:t>
      </w:r>
      <w:r w:rsidRPr="00474577">
        <w:tab/>
        <w:t>5</w:t>
      </w:r>
    </w:p>
    <w:p w:rsidR="00474577" w:rsidRPr="00474577" w:rsidRDefault="00474577" w:rsidP="00474577">
      <w:pPr>
        <w:pStyle w:val="Obsah1"/>
      </w:pPr>
      <w:r w:rsidRPr="00474577">
        <w:t>Úvod</w:t>
      </w:r>
      <w:r w:rsidRPr="00474577">
        <w:tab/>
      </w:r>
      <w:r w:rsidRPr="00474577">
        <w:tab/>
        <w:t>6</w:t>
      </w:r>
    </w:p>
    <w:p w:rsidR="00474577" w:rsidRPr="00474577" w:rsidRDefault="00474577" w:rsidP="00474577">
      <w:pPr>
        <w:pStyle w:val="Obsah1"/>
      </w:pPr>
      <w:r w:rsidRPr="00474577">
        <w:rPr>
          <w:b/>
        </w:rPr>
        <w:t>1</w:t>
      </w:r>
      <w:r w:rsidRPr="00474577">
        <w:tab/>
        <w:t>Rozsah platnosti</w:t>
      </w:r>
      <w:r w:rsidRPr="00474577">
        <w:tab/>
      </w:r>
      <w:r w:rsidRPr="00474577">
        <w:fldChar w:fldCharType="begin"/>
      </w:r>
      <w:r w:rsidRPr="00474577">
        <w:instrText xml:space="preserve"> PAGEREF _Toc300135208 \h </w:instrText>
      </w:r>
      <w:r w:rsidRPr="00474577">
        <w:fldChar w:fldCharType="separate"/>
      </w:r>
      <w:r w:rsidRPr="00474577">
        <w:t>3</w:t>
      </w:r>
      <w:r w:rsidRPr="00474577">
        <w:fldChar w:fldCharType="end"/>
      </w:r>
    </w:p>
    <w:p w:rsidR="00474577" w:rsidRPr="00474577" w:rsidRDefault="00474577" w:rsidP="00474577">
      <w:pPr>
        <w:pStyle w:val="Obsah1"/>
      </w:pPr>
      <w:r w:rsidRPr="00474577">
        <w:rPr>
          <w:b/>
        </w:rPr>
        <w:t>2</w:t>
      </w:r>
      <w:r w:rsidRPr="00474577">
        <w:tab/>
        <w:t>Citované dokumenty</w:t>
      </w:r>
      <w:r w:rsidRPr="00474577">
        <w:tab/>
      </w:r>
      <w:r w:rsidRPr="00474577">
        <w:fldChar w:fldCharType="begin"/>
      </w:r>
      <w:r w:rsidRPr="00474577">
        <w:instrText xml:space="preserve"> PAGEREF _Toc300135209 \h </w:instrText>
      </w:r>
      <w:r w:rsidRPr="00474577">
        <w:fldChar w:fldCharType="separate"/>
      </w:r>
      <w:r w:rsidRPr="00474577">
        <w:t>3</w:t>
      </w:r>
      <w:r w:rsidRPr="00474577">
        <w:fldChar w:fldCharType="end"/>
      </w:r>
    </w:p>
    <w:p w:rsidR="00474577" w:rsidRPr="00474577" w:rsidRDefault="00474577" w:rsidP="00474577">
      <w:pPr>
        <w:pStyle w:val="Obsah1"/>
      </w:pPr>
      <w:r w:rsidRPr="00474577">
        <w:rPr>
          <w:b/>
        </w:rPr>
        <w:t>3</w:t>
      </w:r>
      <w:r w:rsidRPr="00474577">
        <w:tab/>
        <w:t>Termíny a definice</w:t>
      </w:r>
      <w:r w:rsidRPr="00474577">
        <w:tab/>
      </w:r>
      <w:r w:rsidRPr="00474577">
        <w:fldChar w:fldCharType="begin"/>
      </w:r>
      <w:r w:rsidRPr="00474577">
        <w:instrText xml:space="preserve"> PAGEREF _Toc300135210 \h </w:instrText>
      </w:r>
      <w:r w:rsidRPr="00474577">
        <w:fldChar w:fldCharType="separate"/>
      </w:r>
      <w:r w:rsidRPr="00474577">
        <w:t>3</w:t>
      </w:r>
      <w:r w:rsidRPr="00474577">
        <w:fldChar w:fldCharType="end"/>
      </w:r>
    </w:p>
    <w:p w:rsidR="00474577" w:rsidRPr="00474577" w:rsidRDefault="00474577" w:rsidP="00474577">
      <w:pPr>
        <w:pStyle w:val="Obsah1"/>
      </w:pPr>
      <w:r w:rsidRPr="00474577">
        <w:t>atd.</w:t>
      </w:r>
    </w:p>
    <w:p w:rsidR="00474577" w:rsidRPr="00474577" w:rsidRDefault="00474577" w:rsidP="00474577">
      <w:pPr>
        <w:pStyle w:val="Obsah1"/>
      </w:pPr>
      <w:r w:rsidRPr="00474577">
        <w:t>Bibliografie</w:t>
      </w:r>
      <w:r w:rsidRPr="00474577">
        <w:tab/>
        <w:t>17</w:t>
      </w:r>
    </w:p>
    <w:p w:rsidR="00474577" w:rsidRPr="00474577" w:rsidRDefault="00474577" w:rsidP="0001618C">
      <w:pPr>
        <w:pStyle w:val="Textnormy"/>
      </w:pPr>
      <w:r w:rsidRPr="00474577">
        <w:fldChar w:fldCharType="end"/>
      </w:r>
      <w:bookmarkStart w:id="25" w:name="_Toc423086825"/>
      <w:bookmarkStart w:id="26" w:name="_Toc423088164"/>
      <w:bookmarkStart w:id="27" w:name="_Toc423088575"/>
      <w:bookmarkStart w:id="28" w:name="_Toc423089002"/>
      <w:bookmarkStart w:id="29" w:name="_Toc423089308"/>
      <w:bookmarkStart w:id="30" w:name="_Toc424009197"/>
      <w:bookmarkStart w:id="31" w:name="_Toc424009716"/>
      <w:bookmarkStart w:id="32" w:name="_Toc425135649"/>
      <w:bookmarkStart w:id="33" w:name="_Toc425402635"/>
      <w:bookmarkStart w:id="34" w:name="_Toc425404798"/>
      <w:bookmarkStart w:id="35" w:name="_Toc425561062"/>
      <w:bookmarkStart w:id="36" w:name="_Toc425561776"/>
      <w:bookmarkStart w:id="37" w:name="_Toc425579082"/>
      <w:bookmarkStart w:id="38" w:name="_Toc425579285"/>
      <w:bookmarkStart w:id="39" w:name="_Toc431022219"/>
      <w:bookmarkStart w:id="40" w:name="_Toc431785292"/>
      <w:bookmarkStart w:id="41" w:name="_Toc459535865"/>
    </w:p>
    <w:p w:rsidR="00474577" w:rsidRPr="00474577" w:rsidRDefault="005025A7" w:rsidP="0001618C">
      <w:pPr>
        <w:pStyle w:val="Nadpis1"/>
        <w:pageBreakBefore/>
        <w:spacing w:before="0"/>
      </w:pPr>
      <w:bookmarkStart w:id="42" w:name="_Toc4487158"/>
      <w:bookmarkStart w:id="43" w:name="_Toc30013520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Evropská p</w:t>
      </w:r>
      <w:r w:rsidR="00474577" w:rsidRPr="00474577">
        <w:t>ředmluva</w:t>
      </w:r>
    </w:p>
    <w:p w:rsidR="00474577" w:rsidRPr="00474577" w:rsidRDefault="00474577" w:rsidP="00474577">
      <w:pPr>
        <w:pStyle w:val="Textnormy"/>
      </w:pPr>
      <w:r w:rsidRPr="00474577">
        <w:t xml:space="preserve">Tento dokument (CLC/TR 50579:2012) vypracovala technická komise CLC/TC 13 </w:t>
      </w:r>
      <w:r w:rsidRPr="00474577">
        <w:rPr>
          <w:i/>
        </w:rPr>
        <w:t>Vybavení pro měření elektrické energie a ovládání zátěže</w:t>
      </w:r>
      <w:r w:rsidRPr="00474577">
        <w:t>.</w:t>
      </w:r>
    </w:p>
    <w:p w:rsidR="00474577" w:rsidRPr="00474577" w:rsidRDefault="00474577" w:rsidP="00474577">
      <w:pPr>
        <w:pStyle w:val="Textnormy"/>
      </w:pPr>
      <w:r w:rsidRPr="00474577">
        <w:t>Upozorňuje se na možnost, že některé prvky tohoto dokumentu mohou být předmětem patentových práv. CENELEC nelze činit odpovědným za identifikaci jakéhokoliv nebo všech patentových práv.</w:t>
      </w:r>
    </w:p>
    <w:p w:rsidR="00474577" w:rsidRPr="00474577" w:rsidRDefault="00474577" w:rsidP="00474577">
      <w:pPr>
        <w:pStyle w:val="Nadpis1"/>
        <w:pageBreakBefore/>
        <w:spacing w:before="0"/>
      </w:pPr>
      <w:r w:rsidRPr="00474577">
        <w:t>Úvod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41"/>
      <w:bookmarkEnd w:id="42"/>
      <w:bookmarkEnd w:id="43"/>
    </w:p>
    <w:p w:rsidR="00474577" w:rsidRPr="00474577" w:rsidRDefault="00474577" w:rsidP="00474577">
      <w:pPr>
        <w:pStyle w:val="Textnormy"/>
      </w:pPr>
      <w:bookmarkStart w:id="44" w:name="_Toc359251363"/>
      <w:bookmarkStart w:id="45" w:name="_Toc359251521"/>
      <w:bookmarkStart w:id="46" w:name="_Toc359251681"/>
      <w:bookmarkStart w:id="47" w:name="_Toc359251938"/>
      <w:bookmarkStart w:id="48" w:name="_Toc359252127"/>
      <w:bookmarkStart w:id="49" w:name="_Toc359252242"/>
      <w:bookmarkStart w:id="50" w:name="_Toc359252485"/>
      <w:bookmarkStart w:id="51" w:name="_Toc359252725"/>
      <w:bookmarkStart w:id="52" w:name="_Toc359252846"/>
      <w:bookmarkStart w:id="53" w:name="_Toc359252920"/>
      <w:bookmarkStart w:id="54" w:name="_Toc359283646"/>
      <w:bookmarkStart w:id="55" w:name="_Toc365965546"/>
      <w:bookmarkStart w:id="56" w:name="_Toc365967313"/>
      <w:bookmarkStart w:id="57" w:name="_Toc365968760"/>
      <w:bookmarkStart w:id="58" w:name="_Toc367082925"/>
      <w:bookmarkStart w:id="59" w:name="_Toc372429540"/>
      <w:bookmarkStart w:id="60" w:name="_Toc375302774"/>
      <w:bookmarkStart w:id="61" w:name="_Toc379098931"/>
      <w:bookmarkStart w:id="62" w:name="_Toc380735104"/>
      <w:bookmarkStart w:id="63" w:name="_Toc380735204"/>
      <w:bookmarkStart w:id="64" w:name="_Toc380825388"/>
      <w:bookmarkStart w:id="65" w:name="_Toc380827277"/>
      <w:bookmarkStart w:id="66" w:name="_Toc380886223"/>
      <w:bookmarkStart w:id="67" w:name="_Toc380886261"/>
      <w:bookmarkStart w:id="68" w:name="_Toc380886371"/>
      <w:bookmarkStart w:id="69" w:name="_Toc380886468"/>
      <w:bookmarkStart w:id="70" w:name="_Toc4487159"/>
      <w:bookmarkStart w:id="71" w:name="_Toc300135208"/>
      <w:r w:rsidRPr="00474577">
        <w:t>Tato technická zpráva specifikuje úrovně odolnosti a standardní zkušební postup pro odolnost proti symetrickým proudům v kmitočtovém rozsahu od 2 kHz do 150 kHz jako rozšíření harmonizovaných norem EN 50470-1 a EN 50470-3, dokud základní normy souboru IEC 61000-x-x nedosáhnou platnosti.</w:t>
      </w:r>
    </w:p>
    <w:p w:rsidR="00474577" w:rsidRPr="00474577" w:rsidRDefault="00474577" w:rsidP="00474577">
      <w:pPr>
        <w:pStyle w:val="Textnormy"/>
      </w:pPr>
      <w:r w:rsidRPr="00474577">
        <w:t>Tato technická zpráva byla vyžádána různými schvalovacími orgány a provozovateli distribučních soustav jako dočasné řešení, protože za přítomnosti rušivých proudů v kmitočtovém rozsahu od 2 kHz do 150 kHz byly shledány problémy s přesností elektroměrů. Až do dnešního dne nejsou pro tento kmitočtový rozsah k dispozici žádné normy.</w:t>
      </w:r>
    </w:p>
    <w:p w:rsidR="00474577" w:rsidRPr="00474577" w:rsidRDefault="00474577" w:rsidP="00474577">
      <w:pPr>
        <w:pStyle w:val="Textnormy"/>
      </w:pPr>
      <w:r w:rsidRPr="00474577">
        <w:t>Zkoušení odolnosti proti symetrickým proudům dosud není součástí žádných současných základních norem nebo norem EMC pro výrobky. Avšak u některých elektroměrů byl při různých šetřeních vliv symetrických proudů prokázán. Zdrojem těchto proudů v kmitočtovém rozsahu od 2 kHz do 150 kHz může být fotovoltaický střídač nebo jiné spínané napájecí zdroje.</w:t>
      </w:r>
    </w:p>
    <w:p w:rsidR="00474577" w:rsidRPr="00474577" w:rsidRDefault="00474577" w:rsidP="00474577">
      <w:pPr>
        <w:pStyle w:val="Nadpis1"/>
        <w:pageBreakBefore/>
        <w:spacing w:before="0"/>
      </w:pPr>
      <w:bookmarkStart w:id="72" w:name="_Toc369857620"/>
      <w:bookmarkStart w:id="73" w:name="_Toc378231895"/>
      <w:bookmarkStart w:id="74" w:name="_Toc359251364"/>
      <w:bookmarkStart w:id="75" w:name="_Toc359251522"/>
      <w:bookmarkStart w:id="76" w:name="_Toc359251682"/>
      <w:bookmarkStart w:id="77" w:name="_Toc359251939"/>
      <w:bookmarkStart w:id="78" w:name="_Toc359252128"/>
      <w:bookmarkStart w:id="79" w:name="_Toc359252243"/>
      <w:bookmarkStart w:id="80" w:name="_Toc359252486"/>
      <w:bookmarkStart w:id="81" w:name="_Toc359252726"/>
      <w:bookmarkStart w:id="82" w:name="_Toc359252847"/>
      <w:bookmarkStart w:id="83" w:name="_Toc359252921"/>
      <w:bookmarkStart w:id="84" w:name="_Toc359283647"/>
      <w:bookmarkStart w:id="85" w:name="_Toc365965547"/>
      <w:bookmarkStart w:id="86" w:name="_Toc365967314"/>
      <w:bookmarkStart w:id="87" w:name="_Toc365968761"/>
      <w:bookmarkStart w:id="88" w:name="_Toc367082926"/>
      <w:bookmarkStart w:id="89" w:name="_Toc372429541"/>
      <w:bookmarkStart w:id="90" w:name="_Toc375302775"/>
      <w:bookmarkStart w:id="91" w:name="_Toc379098932"/>
      <w:bookmarkStart w:id="92" w:name="_Toc380735105"/>
      <w:bookmarkStart w:id="93" w:name="_Toc380735205"/>
      <w:bookmarkStart w:id="94" w:name="_Toc380825389"/>
      <w:bookmarkStart w:id="95" w:name="_Toc380827278"/>
      <w:bookmarkStart w:id="96" w:name="_Toc380886224"/>
      <w:bookmarkStart w:id="97" w:name="_Toc380886262"/>
      <w:bookmarkStart w:id="98" w:name="_Toc380886372"/>
      <w:bookmarkStart w:id="99" w:name="_Toc380886469"/>
      <w:bookmarkStart w:id="100" w:name="_Toc4487160"/>
      <w:bookmarkStart w:id="101" w:name="_Toc300135209"/>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474577">
        <w:t>1</w:t>
      </w:r>
      <w:r w:rsidRPr="00474577">
        <w:t> </w:t>
      </w:r>
      <w:r w:rsidRPr="00474577">
        <w:t>Rozsah platnosti</w:t>
      </w:r>
      <w:bookmarkEnd w:id="72"/>
      <w:bookmarkEnd w:id="73"/>
    </w:p>
    <w:p w:rsidR="00474577" w:rsidRPr="00474577" w:rsidRDefault="00474577" w:rsidP="00474577">
      <w:pPr>
        <w:pStyle w:val="Textnormy"/>
      </w:pPr>
      <w:r w:rsidRPr="00474577">
        <w:t xml:space="preserve">Tato evropská technická zpráva se vztahuje na nově vyrobené statické elektroměry tříd A, B a C určené pro měření činné energie elektrického střídavého proudu v sítích o kmitočtu 50 Hz pro použití v prostorách obytných, obchodních a lehkého průmyslu. Tato evropská technická zpráva specifikuje konkrétní požadavky a zkoušky odolnosti přímo připojených a přes transformátor připojených elektroměrů jako rozšíření pro EN 50470-1 a EN 50470-3. Tyto zkoušky jsou navrženy tak, aby bylo dosaženo odolnosti proti rušivým proudům až do </w:t>
      </w:r>
      <w:smartTag w:uri="urn:schemas-microsoft-com:office:smarttags" w:element="metricconverter">
        <w:smartTagPr>
          <w:attr w:name="ProductID" w:val="2ﾠA"/>
        </w:smartTagPr>
        <w:r w:rsidRPr="00474577">
          <w:t>2 A</w:t>
        </w:r>
      </w:smartTag>
      <w:r w:rsidRPr="00474577">
        <w:t xml:space="preserve"> (2 kHz až 30 kHz) a až do </w:t>
      </w:r>
      <w:smartTag w:uri="urn:schemas-microsoft-com:office:smarttags" w:element="metricconverter">
        <w:smartTagPr>
          <w:attr w:name="ProductID" w:val="1ﾠa"/>
        </w:smartTagPr>
        <w:r w:rsidRPr="00474577">
          <w:t>1 A</w:t>
        </w:r>
      </w:smartTag>
      <w:r w:rsidRPr="00474577">
        <w:t xml:space="preserve"> (30 kHz až 150 kHz) pro přímo připojené elektroměry a 2 % Imax</w:t>
      </w:r>
      <w:r w:rsidRPr="00474577">
        <w:rPr>
          <w:rStyle w:val="Znakapoznpodarou"/>
        </w:rPr>
        <w:footnoteReference w:customMarkFollows="1" w:id="1"/>
        <w:t>NP1)</w:t>
      </w:r>
      <w:r w:rsidRPr="00474577">
        <w:t xml:space="preserve"> </w:t>
      </w:r>
      <w:r w:rsidRPr="00474577">
        <w:br/>
        <w:t>(2 kHz – 30 kHz) a 1 % Imax</w:t>
      </w:r>
      <w:r w:rsidRPr="00474577">
        <w:rPr>
          <w:vertAlign w:val="superscript"/>
        </w:rPr>
        <w:t>NP1)</w:t>
      </w:r>
      <w:r w:rsidRPr="00474577">
        <w:t xml:space="preserve"> (30 kHz až 150 kHz) pro elektroměry připojené přes transformátor.</w:t>
      </w:r>
    </w:p>
    <w:p w:rsidR="00474577" w:rsidRPr="00474577" w:rsidRDefault="00474577" w:rsidP="00474577">
      <w:pPr>
        <w:pStyle w:val="Textnormy"/>
      </w:pPr>
      <w:r w:rsidRPr="00474577">
        <w:t>To platí pro statické wathodinové elektroměry pro vnitřní i venkovní použití, skládající se z měřicího prvku a počítadla (počítadel) uzavřených společně v pouzdru elektroměru.</w:t>
      </w:r>
    </w:p>
    <w:p w:rsidR="00474577" w:rsidRPr="00474577" w:rsidRDefault="00474577" w:rsidP="00474577">
      <w:pPr>
        <w:pStyle w:val="Textnormy"/>
      </w:pPr>
      <w:r w:rsidRPr="00474577">
        <w:t>Pokud má elektroměr měřicí prvek (prvky) pro více než jeden druh energie (multifunkční elektroměry) nebo pokud jsou jiné funkční prvky, jako např. indikátory maxima, elektronické tarifní zařízení, časové spínače, přijímače hromadného dálkového ovládání, datová komunikační rozhraní atd. uzavřeny v pouzdru elektroměru (multifunkčních elektroměrů) pak se tato technická zpráva vztahuje jen na část měřící činnou energii.</w:t>
      </w:r>
    </w:p>
    <w:p w:rsidR="00474577" w:rsidRPr="00474577" w:rsidRDefault="00474577" w:rsidP="00474577">
      <w:pPr>
        <w:pStyle w:val="Textnormy"/>
      </w:pPr>
      <w:r w:rsidRPr="00474577">
        <w:t>Tato technická zpráva rozlišuje mezi:</w:t>
      </w:r>
    </w:p>
    <w:p w:rsidR="00474577" w:rsidRPr="00474577" w:rsidRDefault="00474577" w:rsidP="0001618C">
      <w:pPr>
        <w:pStyle w:val="Seznamvnorm"/>
        <w:ind w:left="284" w:hanging="284"/>
      </w:pPr>
      <w:r w:rsidRPr="00474577">
        <w:t>elektroměry třídy A, B a C;</w:t>
      </w:r>
    </w:p>
    <w:p w:rsidR="00474577" w:rsidRPr="00474577" w:rsidRDefault="00474577" w:rsidP="0001618C">
      <w:pPr>
        <w:pStyle w:val="Seznamvnorm"/>
        <w:ind w:left="284" w:hanging="284"/>
      </w:pPr>
      <w:r w:rsidRPr="00474577">
        <w:t>elektroměry pro přímé připojení a pro připojení přes transformátory;</w:t>
      </w:r>
    </w:p>
    <w:p w:rsidR="00474577" w:rsidRPr="00474577" w:rsidRDefault="00474577" w:rsidP="00474577">
      <w:pPr>
        <w:pStyle w:val="Textnormy"/>
      </w:pPr>
      <w:r w:rsidRPr="00474577">
        <w:t>Nevztahuje se na:</w:t>
      </w:r>
    </w:p>
    <w:p w:rsidR="00474577" w:rsidRPr="00474577" w:rsidRDefault="00474577" w:rsidP="0001618C">
      <w:pPr>
        <w:pStyle w:val="Seznamvnorm"/>
        <w:ind w:left="284" w:hanging="284"/>
      </w:pPr>
      <w:r w:rsidRPr="00474577">
        <w:t>činné elektroměry, kde napětí mezi připojovacími svorkami převyšuje 600 V (sdružené napětí u vícefázových elektroměrů);</w:t>
      </w:r>
    </w:p>
    <w:p w:rsidR="00474577" w:rsidRPr="00474577" w:rsidRDefault="00474577" w:rsidP="0001618C">
      <w:pPr>
        <w:pStyle w:val="Seznamvnorm"/>
        <w:ind w:left="284" w:hanging="284"/>
      </w:pPr>
      <w:r w:rsidRPr="00474577">
        <w:t>přenosné elektroměry;</w:t>
      </w:r>
    </w:p>
    <w:p w:rsidR="00474577" w:rsidRPr="00474577" w:rsidRDefault="00474577" w:rsidP="0001618C">
      <w:pPr>
        <w:pStyle w:val="Seznamvnorm"/>
        <w:ind w:left="284" w:hanging="284"/>
      </w:pPr>
      <w:r w:rsidRPr="00474577">
        <w:t>referenční elektroměry.</w:t>
      </w:r>
    </w:p>
    <w:p w:rsidR="00474577" w:rsidRPr="00474577" w:rsidRDefault="00474577" w:rsidP="00474577">
      <w:pPr>
        <w:pStyle w:val="Nadpis1"/>
      </w:pPr>
      <w:r w:rsidRPr="00474577">
        <w:t>2</w:t>
      </w:r>
      <w:r w:rsidRPr="00474577">
        <w:t> </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474577">
        <w:t>Citované dokumenty</w:t>
      </w:r>
      <w:bookmarkEnd w:id="101"/>
    </w:p>
    <w:p w:rsidR="00474577" w:rsidRPr="00474577" w:rsidRDefault="00474577" w:rsidP="00474577">
      <w:pPr>
        <w:pStyle w:val="Textnormy"/>
      </w:pPr>
      <w:r w:rsidRPr="00474577">
        <w:t>Na dále uvedené dokumenty se v textu odkazuje takovým způsobem, že celý jejich obsah nebo jeho část představují požadavky tohoto dokumentu. U datovaných citovaných dokumentů se používají pouze datované citované dokumenty. U nedatovaných citovaných dokumentů se používá pouze nejnovější vydání citovaného dokumentu (včetně všech změn).</w:t>
      </w:r>
    </w:p>
    <w:p w:rsidR="00474577" w:rsidRPr="00474577" w:rsidRDefault="00474577" w:rsidP="00A93952">
      <w:pPr>
        <w:pStyle w:val="TextnormyUS"/>
      </w:pPr>
      <w:bookmarkStart w:id="102" w:name="_Toc359251365"/>
      <w:bookmarkStart w:id="103" w:name="_Toc359251523"/>
      <w:bookmarkStart w:id="104" w:name="_Toc359251683"/>
      <w:bookmarkStart w:id="105" w:name="_Toc359251940"/>
      <w:bookmarkStart w:id="106" w:name="_Toc359252129"/>
      <w:bookmarkStart w:id="107" w:name="_Toc359252244"/>
      <w:bookmarkStart w:id="108" w:name="_Toc359252487"/>
      <w:bookmarkStart w:id="109" w:name="_Toc359252727"/>
      <w:bookmarkStart w:id="110" w:name="_Toc359252848"/>
      <w:bookmarkStart w:id="111" w:name="_Toc359252922"/>
      <w:bookmarkStart w:id="112" w:name="_Toc359283648"/>
      <w:bookmarkStart w:id="113" w:name="_Toc365965548"/>
      <w:bookmarkStart w:id="114" w:name="_Toc365967315"/>
      <w:bookmarkStart w:id="115" w:name="_Toc365968762"/>
      <w:bookmarkStart w:id="116" w:name="_Toc367082927"/>
      <w:bookmarkStart w:id="117" w:name="_Toc372429542"/>
      <w:bookmarkStart w:id="118" w:name="_Toc375302776"/>
      <w:bookmarkStart w:id="119" w:name="_Toc379098933"/>
      <w:bookmarkStart w:id="120" w:name="_Toc380735106"/>
      <w:bookmarkStart w:id="121" w:name="_Toc380735206"/>
      <w:bookmarkStart w:id="122" w:name="_Toc380825390"/>
      <w:bookmarkStart w:id="123" w:name="_Toc380827279"/>
      <w:bookmarkStart w:id="124" w:name="_Toc380886225"/>
      <w:bookmarkStart w:id="125" w:name="_Toc380886263"/>
      <w:bookmarkStart w:id="126" w:name="_Toc380886373"/>
      <w:bookmarkStart w:id="127" w:name="_Toc380886470"/>
      <w:bookmarkStart w:id="128" w:name="_Toc4487161"/>
      <w:bookmarkStart w:id="129" w:name="_Toc300135210"/>
      <w:r>
        <w:t>EN 50470-1</w:t>
      </w:r>
      <w:r>
        <w:t> </w:t>
      </w:r>
      <w:r w:rsidRPr="00474577">
        <w:t>Electricity metering equipment (a.c.) – Part 1: General requirements, tests and test conditions – Metering equipment (class indexes A, B and C)</w:t>
      </w:r>
    </w:p>
    <w:p w:rsidR="00474577" w:rsidRPr="00474577" w:rsidRDefault="00474577" w:rsidP="00474577">
      <w:pPr>
        <w:pStyle w:val="Textnormy"/>
        <w:rPr>
          <w:i/>
        </w:rPr>
      </w:pPr>
      <w:r w:rsidRPr="00474577">
        <w:rPr>
          <w:i/>
        </w:rPr>
        <w:t>(Vybavení pro měření elektrické energie (AC) – Část 1: Všeobecné požadavky, zkoušky a zkušební podmínky – Měřicí zařízení (třídy A, B a C))</w:t>
      </w:r>
    </w:p>
    <w:p w:rsidR="00474577" w:rsidRPr="00474577" w:rsidRDefault="00474577" w:rsidP="00A93952">
      <w:pPr>
        <w:pStyle w:val="TextnormyUS"/>
      </w:pPr>
      <w:r>
        <w:t>EN 50470-3:2006</w:t>
      </w:r>
      <w:r>
        <w:t> </w:t>
      </w:r>
      <w:r w:rsidRPr="00474577">
        <w:t>Electricity metering equipment (a.c.) – Part 3: Particular requirements – Static meters for active energy (class indexes A, B and C)</w:t>
      </w:r>
    </w:p>
    <w:p w:rsidR="00474577" w:rsidRPr="00474577" w:rsidRDefault="00474577" w:rsidP="00474577">
      <w:pPr>
        <w:pStyle w:val="Textnormy"/>
        <w:rPr>
          <w:i/>
        </w:rPr>
      </w:pPr>
      <w:r w:rsidRPr="00474577">
        <w:rPr>
          <w:i/>
        </w:rPr>
        <w:t>(Vybavení pro měření elektrické energie (AC) – Část 3: Zvláštní požadavky – Statické činné elektroměry (třídy A, B a C))</w:t>
      </w:r>
    </w:p>
    <w:p w:rsidR="00474577" w:rsidRPr="00474577" w:rsidRDefault="00474577" w:rsidP="00474577">
      <w:pPr>
        <w:pStyle w:val="Nadpis1"/>
      </w:pPr>
      <w:r w:rsidRPr="00474577">
        <w:t>3</w:t>
      </w:r>
      <w:r w:rsidRPr="00474577">
        <w:t> </w:t>
      </w:r>
      <w:r w:rsidRPr="00474577">
        <w:t>Termíny a definice</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474577" w:rsidRPr="00474577" w:rsidRDefault="00474577" w:rsidP="00474577">
      <w:pPr>
        <w:pStyle w:val="Textnormy"/>
      </w:pPr>
      <w:r w:rsidRPr="00474577">
        <w:t>Pro účely tohoto dokumentu platí dále uvedené termíny a definice.</w:t>
      </w:r>
    </w:p>
    <w:p w:rsidR="00474577" w:rsidRPr="00474577" w:rsidRDefault="00474577" w:rsidP="00474577">
      <w:pPr>
        <w:pStyle w:val="Textnormy"/>
      </w:pPr>
      <w:r w:rsidRPr="00474577">
        <w:t xml:space="preserve">ISO a IEC udržují terminologické databáze pro použití v normalizaci na </w:t>
      </w:r>
      <w:r w:rsidRPr="00474577">
        <w:rPr>
          <w:rFonts w:ascii="ArialMT" w:hAnsi="ArialMT"/>
          <w:color w:val="000000"/>
        </w:rPr>
        <w:t>uvedených</w:t>
      </w:r>
      <w:r w:rsidRPr="00474577">
        <w:t xml:space="preserve"> adresách:</w:t>
      </w:r>
    </w:p>
    <w:p w:rsidR="00474577" w:rsidRDefault="00474577" w:rsidP="00474577">
      <w:pPr>
        <w:pStyle w:val="Seznamvnorm"/>
        <w:numPr>
          <w:ilvl w:val="0"/>
          <w:numId w:val="26"/>
        </w:numPr>
        <w:ind w:left="284" w:hanging="284"/>
      </w:pPr>
      <w:r>
        <w:t xml:space="preserve">IEC </w:t>
      </w:r>
      <w:r w:rsidRPr="00F3515C">
        <w:rPr>
          <w:lang w:val="en-US"/>
        </w:rPr>
        <w:t>Electropedia</w:t>
      </w:r>
      <w:r>
        <w:t xml:space="preserve">: dostupné na </w:t>
      </w:r>
      <w:hyperlink r:id="rId14" w:history="1">
        <w:r w:rsidRPr="00F00A3C">
          <w:rPr>
            <w:rStyle w:val="Hypertextovodkaz"/>
          </w:rPr>
          <w:t>http://www.electropedia.org/</w:t>
        </w:r>
      </w:hyperlink>
    </w:p>
    <w:p w:rsidR="00474577" w:rsidRPr="00AC0FA5" w:rsidRDefault="00474577" w:rsidP="00474577">
      <w:pPr>
        <w:pStyle w:val="Seznamvnorm"/>
        <w:numPr>
          <w:ilvl w:val="0"/>
          <w:numId w:val="26"/>
        </w:numPr>
        <w:ind w:left="284" w:hanging="284"/>
      </w:pPr>
      <w:r w:rsidRPr="00B14ADF">
        <w:t xml:space="preserve">ISO Online </w:t>
      </w:r>
      <w:r w:rsidRPr="00B14ADF">
        <w:rPr>
          <w:lang w:val="en-US"/>
        </w:rPr>
        <w:t>browsing platform</w:t>
      </w:r>
      <w:r w:rsidRPr="00B14ADF">
        <w:t>: dostupné na</w:t>
      </w:r>
      <w:r w:rsidRPr="001F2066">
        <w:rPr>
          <w:rFonts w:cs="Arial"/>
          <w:color w:val="000000"/>
        </w:rPr>
        <w:t xml:space="preserve"> </w:t>
      </w:r>
      <w:hyperlink r:id="rId15" w:history="1">
        <w:r w:rsidRPr="003661B5">
          <w:rPr>
            <w:rStyle w:val="Hypertextovodkaz"/>
            <w:rFonts w:cs="Arial"/>
          </w:rPr>
          <w:t>http://www.iso.org/obp</w:t>
        </w:r>
      </w:hyperlink>
    </w:p>
    <w:p w:rsidR="00474577" w:rsidRPr="00474577" w:rsidRDefault="00474577" w:rsidP="00474577">
      <w:pPr>
        <w:pStyle w:val="Textnormy"/>
        <w:spacing w:before="240"/>
      </w:pPr>
      <w:r w:rsidRPr="00474577">
        <w:rPr>
          <w:rFonts w:cs="Arial"/>
          <w:b/>
        </w:rPr>
        <w:t>3.1</w:t>
      </w:r>
      <w:r w:rsidRPr="00474577">
        <w:rPr>
          <w:rFonts w:cs="Arial"/>
          <w:b/>
        </w:rPr>
        <w:br/>
        <w:t xml:space="preserve">zkoušené zařízení </w:t>
      </w:r>
      <w:r w:rsidRPr="00474577">
        <w:rPr>
          <w:rFonts w:cs="Arial"/>
          <w:i/>
        </w:rPr>
        <w:t>(equipment under test)</w:t>
      </w:r>
      <w:r w:rsidRPr="00474577">
        <w:tab/>
      </w:r>
      <w:r w:rsidRPr="00474577">
        <w:br/>
      </w:r>
      <w:r w:rsidRPr="00474577">
        <w:rPr>
          <w:rFonts w:cs="Arial"/>
          <w:b/>
        </w:rPr>
        <w:t>EUT</w:t>
      </w:r>
      <w:r w:rsidRPr="00474577">
        <w:br/>
        <w:t>elektroměr nebo jiný přístroj pro měření energie, který je zkoušen na odolnost proti rušivému proudu popsanému v této technické zprávě</w:t>
      </w:r>
    </w:p>
    <w:p w:rsidR="00474577" w:rsidRPr="00474577" w:rsidRDefault="00474577" w:rsidP="00474577">
      <w:pPr>
        <w:pStyle w:val="Textnormy"/>
        <w:pageBreakBefore/>
      </w:pPr>
      <w:r w:rsidRPr="00474577">
        <w:rPr>
          <w:b/>
        </w:rPr>
        <w:t>3.2</w:t>
      </w:r>
      <w:r w:rsidRPr="00474577">
        <w:rPr>
          <w:b/>
        </w:rPr>
        <w:br/>
        <w:t>zatěžovací</w:t>
      </w:r>
      <w:r w:rsidRPr="00474577">
        <w:t xml:space="preserve"> </w:t>
      </w:r>
      <w:r w:rsidRPr="00474577">
        <w:rPr>
          <w:b/>
        </w:rPr>
        <w:t xml:space="preserve">proud </w:t>
      </w:r>
      <w:r w:rsidRPr="00474577">
        <w:rPr>
          <w:i/>
        </w:rPr>
        <w:t>(load current)</w:t>
      </w:r>
      <w:r w:rsidRPr="00474577">
        <w:tab/>
      </w:r>
      <w:r w:rsidRPr="00474577">
        <w:br/>
      </w:r>
      <w:r w:rsidRPr="00474577">
        <w:rPr>
          <w:b/>
          <w:i/>
        </w:rPr>
        <w:t>I</w:t>
      </w:r>
      <w:r w:rsidRPr="00474577">
        <w:rPr>
          <w:b/>
          <w:vertAlign w:val="subscript"/>
        </w:rPr>
        <w:t>50Hz</w:t>
      </w:r>
      <w:r w:rsidRPr="00474577">
        <w:br/>
        <w:t>proud o kmitočtu 50 Hz, který teče proudovými obvody zkoušeného zařízení; proud typicky teče živými vodiči od vstupu (LIN) do výstupu (LOUT) elektroměru</w:t>
      </w:r>
    </w:p>
    <w:p w:rsidR="00474577" w:rsidRPr="00474577" w:rsidRDefault="00474577" w:rsidP="00474577">
      <w:pPr>
        <w:pStyle w:val="Textnormy"/>
        <w:spacing w:before="240"/>
      </w:pPr>
      <w:r w:rsidRPr="00474577">
        <w:rPr>
          <w:rFonts w:cs="Arial"/>
          <w:b/>
        </w:rPr>
        <w:t>3.3</w:t>
      </w:r>
      <w:r w:rsidRPr="00474577">
        <w:rPr>
          <w:rFonts w:cs="Arial"/>
          <w:b/>
        </w:rPr>
        <w:br/>
        <w:t xml:space="preserve">rušivý proud </w:t>
      </w:r>
      <w:r w:rsidRPr="00474577">
        <w:rPr>
          <w:rFonts w:cs="Arial"/>
          <w:i/>
        </w:rPr>
        <w:t>(disturbing current)</w:t>
      </w:r>
      <w:r w:rsidRPr="00474577">
        <w:tab/>
      </w:r>
      <w:r w:rsidRPr="00474577">
        <w:br/>
      </w:r>
      <w:r w:rsidRPr="00474577">
        <w:rPr>
          <w:rFonts w:cs="Arial"/>
          <w:b/>
          <w:i/>
        </w:rPr>
        <w:t>I</w:t>
      </w:r>
      <w:r w:rsidRPr="00474577">
        <w:rPr>
          <w:rFonts w:cs="Arial"/>
          <w:b/>
          <w:vertAlign w:val="subscript"/>
        </w:rPr>
        <w:t>Dist</w:t>
      </w:r>
      <w:r w:rsidRPr="00474577">
        <w:br/>
        <w:t xml:space="preserve">proud v kmitočtovém rozsahu od 2 kHz do 150 kHz protékající proudovými obvody elektroměru nebo jiného </w:t>
      </w:r>
      <w:r w:rsidR="00A93952">
        <w:br/>
      </w:r>
      <w:r w:rsidRPr="00474577">
        <w:t>přístroje pro měření energie</w:t>
      </w:r>
    </w:p>
    <w:p w:rsidR="00474577" w:rsidRPr="00474577" w:rsidRDefault="00474577" w:rsidP="00474577">
      <w:pPr>
        <w:pStyle w:val="Textnormy"/>
      </w:pPr>
    </w:p>
    <w:p w:rsidR="00474577" w:rsidRPr="00474577" w:rsidRDefault="00474577" w:rsidP="00474577">
      <w:pPr>
        <w:pStyle w:val="Textnormy"/>
      </w:pPr>
      <w:r w:rsidRPr="00474577">
        <w:t>atd.</w:t>
      </w:r>
    </w:p>
    <w:p w:rsidR="00474577" w:rsidRDefault="00474577" w:rsidP="00474577">
      <w:pPr>
        <w:pStyle w:val="Nadpis1"/>
        <w:pageBreakBefore/>
        <w:spacing w:before="0"/>
      </w:pPr>
      <w:bookmarkStart w:id="130" w:name="_Toc369857635"/>
      <w:bookmarkStart w:id="131" w:name="_Toc378231910"/>
      <w:r w:rsidRPr="00474577">
        <w:t>Bibliografie</w:t>
      </w:r>
      <w:bookmarkEnd w:id="130"/>
      <w:bookmarkEnd w:id="131"/>
    </w:p>
    <w:p w:rsidR="00474577" w:rsidRPr="00474577" w:rsidRDefault="00474577" w:rsidP="00474577">
      <w:pPr>
        <w:pStyle w:val="bibliografie"/>
        <w:rPr>
          <w:lang w:val="fr-FR"/>
        </w:rPr>
      </w:pPr>
      <w:r w:rsidRPr="00474577">
        <w:t>EN 60044-1</w:t>
      </w:r>
      <w:r w:rsidRPr="00474577">
        <w:t> </w:t>
      </w:r>
      <w:r w:rsidRPr="00474577">
        <w:rPr>
          <w:i/>
          <w:lang w:val="fr-FR"/>
        </w:rPr>
        <w:t xml:space="preserve">Instrument transformers – </w:t>
      </w:r>
      <w:r w:rsidRPr="00474577">
        <w:rPr>
          <w:rFonts w:cs="Arial"/>
          <w:i/>
          <w:lang w:val="fr-FR"/>
        </w:rPr>
        <w:t>Part 1: Current transformer</w:t>
      </w:r>
      <w:r w:rsidRPr="00474577">
        <w:rPr>
          <w:i/>
          <w:lang w:val="fr-FR"/>
        </w:rPr>
        <w:t>s (IEC 60044-1)</w:t>
      </w:r>
    </w:p>
    <w:p w:rsidR="00474577" w:rsidRPr="00474577" w:rsidRDefault="00474577" w:rsidP="00474577">
      <w:pPr>
        <w:pStyle w:val="Textnormy"/>
      </w:pPr>
      <w:bookmarkStart w:id="132" w:name="_GoBack"/>
      <w:bookmarkEnd w:id="132"/>
    </w:p>
    <w:sectPr w:rsidR="00474577" w:rsidRPr="00474577" w:rsidSect="00A569CF">
      <w:headerReference w:type="even" r:id="rId16"/>
      <w:headerReference w:type="default" r:id="rId17"/>
      <w:footerReference w:type="even" r:id="rId18"/>
      <w:footerReference w:type="default" r:id="rId19"/>
      <w:headerReference w:type="first" r:id="rId20"/>
      <w:pgSz w:w="11907" w:h="16840" w:code="9"/>
      <w:pgMar w:top="1134" w:right="964" w:bottom="1134" w:left="102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E38" w:rsidRDefault="00AF1E38">
      <w:r>
        <w:separator/>
      </w:r>
    </w:p>
  </w:endnote>
  <w:endnote w:type="continuationSeparator" w:id="0">
    <w:p w:rsidR="00AF1E38" w:rsidRDefault="00AF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D70" w:rsidRDefault="005E5D70">
    <w:pPr>
      <w:pStyle w:val="Zpat"/>
      <w:framePr w:wrap="auto"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sidR="00693AC5">
      <w:rPr>
        <w:rStyle w:val="slostrnky"/>
        <w:noProof/>
      </w:rPr>
      <w:t>9</w:t>
    </w:r>
    <w:r>
      <w:rPr>
        <w:rStyle w:val="slostrnky"/>
      </w:rPr>
      <w:fldChar w:fldCharType="end"/>
    </w:r>
  </w:p>
  <w:p w:rsidR="005E5D70" w:rsidRDefault="005E5D70">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D70" w:rsidRDefault="005E5D70">
    <w:pPr>
      <w:pStyle w:val="Zpat"/>
      <w:framePr w:wrap="auto"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sidR="00693AC5">
      <w:rPr>
        <w:rStyle w:val="slostrnky"/>
        <w:noProof/>
      </w:rPr>
      <w:t>9</w:t>
    </w:r>
    <w:r>
      <w:rPr>
        <w:rStyle w:val="slostrnky"/>
      </w:rPr>
      <w:fldChar w:fldCharType="end"/>
    </w:r>
  </w:p>
  <w:p w:rsidR="005E5D70" w:rsidRDefault="005E5D70">
    <w:pPr>
      <w:pStyle w:val="Zpat"/>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D70" w:rsidRPr="00F34923" w:rsidRDefault="005E6642" w:rsidP="00F34923">
    <w:pPr>
      <w:pStyle w:val="1StrCopyright"/>
      <w:spacing w:before="180"/>
    </w:pPr>
    <w:r>
      <w:rPr>
        <w:rFonts w:ascii="Times New Roman" w:hAnsi="Times New Roman"/>
        <w:noProof/>
      </w:rPr>
      <w:drawing>
        <wp:inline distT="0" distB="0" distL="0" distR="0">
          <wp:extent cx="897890" cy="324485"/>
          <wp:effectExtent l="0" t="0" r="0" b="0"/>
          <wp:docPr id="6" name="obrázek 1" descr="logo cer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rn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324485"/>
                  </a:xfrm>
                  <a:prstGeom prst="rect">
                    <a:avLst/>
                  </a:prstGeom>
                  <a:noFill/>
                  <a:ln>
                    <a:noFill/>
                  </a:ln>
                </pic:spPr>
              </pic:pic>
            </a:graphicData>
          </a:graphic>
        </wp:inline>
      </w:drawing>
    </w:r>
    <w:r w:rsidR="00F34923">
      <w:tab/>
    </w:r>
    <w:r w:rsidR="00F34923" w:rsidRPr="00F34923">
      <w:rPr>
        <w:sz w:val="16"/>
        <w:szCs w:val="16"/>
      </w:rPr>
      <w:t xml:space="preserve">© Úřad pro technickou normalizaci, metrologii a státní zkušebnictví, </w:t>
    </w:r>
    <w:r w:rsidR="00474577">
      <w:rPr>
        <w:sz w:val="16"/>
        <w:szCs w:val="16"/>
      </w:rPr>
      <w:t>RRRR</w:t>
    </w:r>
    <w:r w:rsidR="00F34923">
      <w:tab/>
    </w:r>
    <w:r w:rsidR="00F34923">
      <w:rPr>
        <w:b/>
        <w:sz w:val="20"/>
      </w:rPr>
      <w:t>XXXXX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EAB" w:rsidRDefault="003E0833">
    <w:pPr>
      <w:pStyle w:val="Zpat"/>
      <w:ind w:right="360" w:firstLine="360"/>
    </w:pPr>
    <w:r>
      <w:rPr>
        <w:rStyle w:val="slostrnky"/>
      </w:rPr>
      <w:fldChar w:fldCharType="begin"/>
    </w:r>
    <w:r>
      <w:rPr>
        <w:rStyle w:val="slostrnky"/>
      </w:rPr>
      <w:instrText xml:space="preserve"> PAGE </w:instrText>
    </w:r>
    <w:r>
      <w:rPr>
        <w:rStyle w:val="slostrnky"/>
      </w:rPr>
      <w:fldChar w:fldCharType="separate"/>
    </w:r>
    <w:r w:rsidR="0001618C">
      <w:rPr>
        <w:rStyle w:val="slostrnky"/>
        <w:noProof/>
      </w:rPr>
      <w:t>8</w:t>
    </w:r>
    <w:r>
      <w:rPr>
        <w:rStyle w:val="slostrnky"/>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EAB" w:rsidRDefault="003E0833">
    <w:pPr>
      <w:pStyle w:val="Zpat"/>
      <w:ind w:right="360" w:firstLine="360"/>
    </w:pPr>
    <w:r>
      <w:rPr>
        <w:rStyle w:val="slostrnky"/>
      </w:rPr>
      <w:fldChar w:fldCharType="begin"/>
    </w:r>
    <w:r>
      <w:rPr>
        <w:rStyle w:val="slostrnky"/>
      </w:rPr>
      <w:instrText xml:space="preserve"> PAGE </w:instrText>
    </w:r>
    <w:r>
      <w:rPr>
        <w:rStyle w:val="slostrnky"/>
      </w:rPr>
      <w:fldChar w:fldCharType="separate"/>
    </w:r>
    <w:r w:rsidR="0001618C">
      <w:rPr>
        <w:rStyle w:val="slostrnky"/>
        <w:noProof/>
      </w:rPr>
      <w:t>9</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E38" w:rsidRDefault="00AF1E38">
      <w:r>
        <w:separator/>
      </w:r>
    </w:p>
  </w:footnote>
  <w:footnote w:type="continuationSeparator" w:id="0">
    <w:p w:rsidR="00AF1E38" w:rsidRDefault="00AF1E38">
      <w:r>
        <w:continuationSeparator/>
      </w:r>
    </w:p>
  </w:footnote>
  <w:footnote w:id="1">
    <w:p w:rsidR="00474577" w:rsidRDefault="00474577" w:rsidP="0001618C">
      <w:pPr>
        <w:pStyle w:val="Textpoznpodarou"/>
        <w:ind w:left="426" w:hanging="426"/>
      </w:pPr>
      <w:r>
        <w:rPr>
          <w:rStyle w:val="Znakapoznpodarou"/>
        </w:rPr>
        <w:t>NP1)</w:t>
      </w:r>
      <w:r>
        <w:tab/>
        <w:t>NÁRODNÍ POZNÁMKA</w:t>
      </w:r>
      <w:r>
        <w:t> </w:t>
      </w:r>
      <w:r>
        <w:t xml:space="preserve">Nepřesnost originálu. Jedná se o veličinu, forma zápisu by měla být </w:t>
      </w:r>
      <w:r w:rsidRPr="00930627">
        <w:rPr>
          <w:i/>
        </w:rPr>
        <w:t>I</w:t>
      </w:r>
      <w:r w:rsidRPr="00930627">
        <w:rPr>
          <w:vertAlign w:val="subscript"/>
        </w:rPr>
        <w:t>max</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D70" w:rsidRDefault="0001618C">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4784" o:spid="_x0000_s2050" type="#_x0000_t136" style="position:absolute;left:0;text-align:left;margin-left:0;margin-top:0;width:625.75pt;height:73.6pt;rotation:315;z-index:-251655168;mso-position-horizontal:center;mso-position-horizontal-relative:margin;mso-position-vertical:center;mso-position-vertical-relative:margin" o:allowincell="f" fillcolor="#00b0f0" stroked="f">
          <v:fill opacity=".5"/>
          <v:textpath style="font-family:&quot;Arial&quot;;font-size:1pt" string="METODICKÝ VZOR"/>
          <w10:wrap anchorx="margin" anchory="margin"/>
        </v:shape>
      </w:pict>
    </w:r>
    <w:r w:rsidR="005E5D70">
      <w:t>ČSN EN 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D70" w:rsidRDefault="0001618C">
    <w:pPr>
      <w:pStyle w:val="Zhlav"/>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4785" o:spid="_x0000_s2051" type="#_x0000_t136" style="position:absolute;left:0;text-align:left;margin-left:0;margin-top:0;width:625.75pt;height:73.6pt;rotation:315;z-index:-251653120;mso-position-horizontal:center;mso-position-horizontal-relative:margin;mso-position-vertical:center;mso-position-vertical-relative:margin" o:allowincell="f" fillcolor="#00b0f0" stroked="f">
          <v:fill opacity=".5"/>
          <v:textpath style="font-family:&quot;Arial&quot;;font-size:1pt" string="METODICKÝ VZOR"/>
          <w10:wrap anchorx="margin" anchory="margin"/>
        </v:shape>
      </w:pict>
    </w:r>
    <w:r w:rsidR="005E5D70">
      <w:t>ČSN EN 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577" w:rsidRDefault="0001618C">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4783" o:spid="_x0000_s2049" type="#_x0000_t136" style="position:absolute;left:0;text-align:left;margin-left:0;margin-top:0;width:625.75pt;height:73.6pt;rotation:315;z-index:-251657216;mso-position-horizontal:center;mso-position-horizontal-relative:margin;mso-position-vertical:center;mso-position-vertical-relative:margin" o:allowincell="f" fillcolor="#00b0f0" stroked="f">
          <v:fill opacity=".5"/>
          <v:textpath style="font-family:&quot;Arial&quot;;font-size:1pt" string="METODICKÝ VZOR"/>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EAB" w:rsidRDefault="0001618C">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4787" o:spid="_x0000_s2053" type="#_x0000_t136" style="position:absolute;left:0;text-align:left;margin-left:0;margin-top:0;width:625.75pt;height:73.6pt;rotation:315;z-index:-251649024;mso-position-horizontal:center;mso-position-horizontal-relative:margin;mso-position-vertical:center;mso-position-vertical-relative:margin" o:allowincell="f" fillcolor="#00b0f0" stroked="f">
          <v:fill opacity=".5"/>
          <v:textpath style="font-family:&quot;Arial&quot;;font-size:1pt" string="METODICKÝ VZOR"/>
          <w10:wrap anchorx="margin" anchory="margin"/>
        </v:shape>
      </w:pict>
    </w:r>
    <w:r w:rsidR="003E0833">
      <w:t>TNI CLC/TR 50579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EAB" w:rsidRDefault="0001618C">
    <w:pPr>
      <w:pStyle w:val="Zhlav"/>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4788" o:spid="_x0000_s2054" type="#_x0000_t136" style="position:absolute;left:0;text-align:left;margin-left:0;margin-top:0;width:625.75pt;height:73.6pt;rotation:315;z-index:-251646976;mso-position-horizontal:center;mso-position-horizontal-relative:margin;mso-position-vertical:center;mso-position-vertical-relative:margin" o:allowincell="f" fillcolor="#00b0f0" stroked="f">
          <v:fill opacity=".5"/>
          <v:textpath style="font-family:&quot;Arial&quot;;font-size:1pt" string="METODICKÝ VZOR"/>
          <w10:wrap anchorx="margin" anchory="margin"/>
        </v:shape>
      </w:pict>
    </w:r>
    <w:r w:rsidR="003E0833">
      <w:t>TNI CLC/TR 50579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39C" w:rsidRDefault="0001618C">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4786" o:spid="_x0000_s2052" type="#_x0000_t136" style="position:absolute;left:0;text-align:left;margin-left:0;margin-top:0;width:625.75pt;height:73.6pt;rotation:315;z-index:-251651072;mso-position-horizontal:center;mso-position-horizontal-relative:margin;mso-position-vertical:center;mso-position-vertical-relative:margin" o:allowincell="f" fillcolor="#00b0f0" stroked="f">
          <v:fill opacity=".5"/>
          <v:textpath style="font-family:&quot;Arial&quot;;font-size:1pt" string="METODICKÝ VZ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1" w15:restartNumberingAfterBreak="0">
    <w:nsid w:val="089561A9"/>
    <w:multiLevelType w:val="singleLevel"/>
    <w:tmpl w:val="FA08913A"/>
    <w:lvl w:ilvl="0">
      <w:start w:val="1"/>
      <w:numFmt w:val="lowerLetter"/>
      <w:pStyle w:val="ABCSeznamUS"/>
      <w:lvlText w:val="%1)"/>
      <w:lvlJc w:val="left"/>
      <w:pPr>
        <w:tabs>
          <w:tab w:val="num" w:pos="360"/>
        </w:tabs>
        <w:ind w:left="284" w:hanging="284"/>
      </w:pPr>
    </w:lvl>
  </w:abstractNum>
  <w:abstractNum w:abstractNumId="2" w15:restartNumberingAfterBreak="0">
    <w:nsid w:val="0A0C0D87"/>
    <w:multiLevelType w:val="singleLevel"/>
    <w:tmpl w:val="476C6820"/>
    <w:lvl w:ilvl="0">
      <w:start w:val="1"/>
      <w:numFmt w:val="decimal"/>
      <w:pStyle w:val="bibliografie"/>
      <w:lvlText w:val="[%1]"/>
      <w:lvlJc w:val="left"/>
      <w:pPr>
        <w:tabs>
          <w:tab w:val="num" w:pos="360"/>
        </w:tabs>
        <w:ind w:left="360" w:hanging="360"/>
      </w:pPr>
    </w:lvl>
  </w:abstractNum>
  <w:abstractNum w:abstractNumId="3" w15:restartNumberingAfterBreak="0">
    <w:nsid w:val="46166F52"/>
    <w:multiLevelType w:val="singleLevel"/>
    <w:tmpl w:val="04882B2A"/>
    <w:lvl w:ilvl="0">
      <w:start w:val="1"/>
      <w:numFmt w:val="decimal"/>
      <w:pStyle w:val="slovanseznam"/>
      <w:lvlText w:val="%1."/>
      <w:legacy w:legacy="1" w:legacySpace="0" w:legacyIndent="283"/>
      <w:lvlJc w:val="left"/>
      <w:pPr>
        <w:ind w:left="283" w:hanging="283"/>
      </w:pPr>
    </w:lvl>
  </w:abstractNum>
  <w:abstractNum w:abstractNumId="4" w15:restartNumberingAfterBreak="0">
    <w:nsid w:val="48B8050C"/>
    <w:multiLevelType w:val="singleLevel"/>
    <w:tmpl w:val="6802948C"/>
    <w:lvl w:ilvl="0">
      <w:start w:val="1"/>
      <w:numFmt w:val="decimal"/>
      <w:lvlText w:val="%1"/>
      <w:legacy w:legacy="1" w:legacySpace="0" w:legacyIndent="283"/>
      <w:lvlJc w:val="left"/>
    </w:lvl>
  </w:abstractNum>
  <w:abstractNum w:abstractNumId="5" w15:restartNumberingAfterBreak="0">
    <w:nsid w:val="49266AB7"/>
    <w:multiLevelType w:val="singleLevel"/>
    <w:tmpl w:val="67E67A1E"/>
    <w:lvl w:ilvl="0">
      <w:start w:val="1"/>
      <w:numFmt w:val="decimal"/>
      <w:pStyle w:val="slovanseznamvnorm"/>
      <w:lvlText w:val="%1)"/>
      <w:lvlJc w:val="left"/>
      <w:pPr>
        <w:tabs>
          <w:tab w:val="num" w:pos="360"/>
        </w:tabs>
        <w:ind w:left="284" w:hanging="284"/>
      </w:pPr>
    </w:lvl>
  </w:abstractNum>
  <w:abstractNum w:abstractNumId="6" w15:restartNumberingAfterBreak="0">
    <w:nsid w:val="4D38168C"/>
    <w:multiLevelType w:val="singleLevel"/>
    <w:tmpl w:val="6802948C"/>
    <w:lvl w:ilvl="0">
      <w:start w:val="1"/>
      <w:numFmt w:val="decimal"/>
      <w:lvlText w:val="%1"/>
      <w:legacy w:legacy="1" w:legacySpace="0" w:legacyIndent="283"/>
      <w:lvlJc w:val="left"/>
    </w:lvl>
  </w:abstractNum>
  <w:abstractNum w:abstractNumId="7" w15:restartNumberingAfterBreak="0">
    <w:nsid w:val="53177262"/>
    <w:multiLevelType w:val="singleLevel"/>
    <w:tmpl w:val="17569860"/>
    <w:lvl w:ilvl="0">
      <w:start w:val="1"/>
      <w:numFmt w:val="lowerLetter"/>
      <w:pStyle w:val="Abecednseznam"/>
      <w:lvlText w:val="%1)"/>
      <w:lvlJc w:val="left"/>
      <w:pPr>
        <w:tabs>
          <w:tab w:val="num" w:pos="360"/>
        </w:tabs>
        <w:ind w:left="284" w:hanging="284"/>
      </w:pPr>
    </w:lvl>
  </w:abstractNum>
  <w:abstractNum w:abstractNumId="8" w15:restartNumberingAfterBreak="0">
    <w:nsid w:val="5A744DB8"/>
    <w:multiLevelType w:val="hybridMultilevel"/>
    <w:tmpl w:val="9BA44F0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61AD6E9E"/>
    <w:multiLevelType w:val="hybridMultilevel"/>
    <w:tmpl w:val="FAE4B1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7D3C38DE"/>
    <w:multiLevelType w:val="singleLevel"/>
    <w:tmpl w:val="AA88CE04"/>
    <w:lvl w:ilvl="0">
      <w:start w:val="1"/>
      <w:numFmt w:val="lowerLetter"/>
      <w:pStyle w:val="ABCseznamCZ"/>
      <w:lvlText w:val="%1)"/>
      <w:legacy w:legacy="1" w:legacySpace="0" w:legacyIndent="283"/>
      <w:lvlJc w:val="left"/>
      <w:pPr>
        <w:ind w:left="283" w:hanging="283"/>
      </w:pPr>
    </w:lvl>
  </w:abstractNum>
  <w:num w:numId="1">
    <w:abstractNumId w:val="7"/>
  </w:num>
  <w:num w:numId="2">
    <w:abstractNumId w:val="3"/>
  </w:num>
  <w:num w:numId="3">
    <w:abstractNumId w:val="5"/>
  </w:num>
  <w:num w:numId="4">
    <w:abstractNumId w:val="0"/>
  </w:num>
  <w:num w:numId="5">
    <w:abstractNumId w:val="1"/>
  </w:num>
  <w:num w:numId="6">
    <w:abstractNumId w:val="10"/>
    <w:lvlOverride w:ilvl="0">
      <w:startOverride w:val="1"/>
    </w:lvlOverride>
  </w:num>
  <w:num w:numId="7">
    <w:abstractNumId w:val="6"/>
  </w:num>
  <w:num w:numId="8">
    <w:abstractNumId w:val="2"/>
  </w:num>
  <w:num w:numId="9">
    <w:abstractNumId w:val="2"/>
  </w:num>
  <w:num w:numId="10">
    <w:abstractNumId w:val="4"/>
  </w:num>
  <w:num w:numId="11">
    <w:abstractNumId w:val="10"/>
  </w:num>
  <w:num w:numId="12">
    <w:abstractNumId w:val="1"/>
  </w:num>
  <w:num w:numId="13">
    <w:abstractNumId w:val="7"/>
  </w:num>
  <w:num w:numId="14">
    <w:abstractNumId w:val="5"/>
  </w:num>
  <w:num w:numId="15">
    <w:abstractNumId w:val="2"/>
  </w:num>
  <w:num w:numId="16">
    <w:abstractNumId w:val="3"/>
  </w:num>
  <w:num w:numId="17">
    <w:abstractNumId w:val="0"/>
  </w:num>
  <w:num w:numId="18">
    <w:abstractNumId w:val="10"/>
  </w:num>
  <w:num w:numId="19">
    <w:abstractNumId w:val="1"/>
  </w:num>
  <w:num w:numId="20">
    <w:abstractNumId w:val="7"/>
  </w:num>
  <w:num w:numId="21">
    <w:abstractNumId w:val="5"/>
  </w:num>
  <w:num w:numId="22">
    <w:abstractNumId w:val="2"/>
  </w:num>
  <w:num w:numId="23">
    <w:abstractNumId w:val="3"/>
  </w:num>
  <w:num w:numId="24">
    <w:abstractNumId w:val="0"/>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embedTrueTypeFonts/>
  <w:saveSubsetFonts/>
  <w:mirrorMargins/>
  <w:proofState w:grammar="clean"/>
  <w:attachedTemplate r:id="rId1"/>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09"/>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577"/>
    <w:rsid w:val="0001618C"/>
    <w:rsid w:val="0005070E"/>
    <w:rsid w:val="000538A8"/>
    <w:rsid w:val="00065BB0"/>
    <w:rsid w:val="00083EAE"/>
    <w:rsid w:val="000B0C7F"/>
    <w:rsid w:val="000C0ADB"/>
    <w:rsid w:val="000C5F58"/>
    <w:rsid w:val="000D1814"/>
    <w:rsid w:val="00111FBA"/>
    <w:rsid w:val="00125DE8"/>
    <w:rsid w:val="00136740"/>
    <w:rsid w:val="00166312"/>
    <w:rsid w:val="00196773"/>
    <w:rsid w:val="001A399C"/>
    <w:rsid w:val="001B4191"/>
    <w:rsid w:val="001C3B6A"/>
    <w:rsid w:val="001C4561"/>
    <w:rsid w:val="001E0E4C"/>
    <w:rsid w:val="00210D23"/>
    <w:rsid w:val="0021788D"/>
    <w:rsid w:val="002335B5"/>
    <w:rsid w:val="00244A62"/>
    <w:rsid w:val="002600CB"/>
    <w:rsid w:val="00283725"/>
    <w:rsid w:val="002E77C1"/>
    <w:rsid w:val="003063AD"/>
    <w:rsid w:val="00334BD4"/>
    <w:rsid w:val="00344D00"/>
    <w:rsid w:val="00362153"/>
    <w:rsid w:val="003705F1"/>
    <w:rsid w:val="00380450"/>
    <w:rsid w:val="003A1688"/>
    <w:rsid w:val="003E0833"/>
    <w:rsid w:val="00407005"/>
    <w:rsid w:val="00416192"/>
    <w:rsid w:val="00425277"/>
    <w:rsid w:val="00446FD9"/>
    <w:rsid w:val="004543EF"/>
    <w:rsid w:val="00473398"/>
    <w:rsid w:val="00474577"/>
    <w:rsid w:val="00481B79"/>
    <w:rsid w:val="00482214"/>
    <w:rsid w:val="00486212"/>
    <w:rsid w:val="004901EE"/>
    <w:rsid w:val="00493A76"/>
    <w:rsid w:val="004B320C"/>
    <w:rsid w:val="004E41B6"/>
    <w:rsid w:val="004F1710"/>
    <w:rsid w:val="005025A7"/>
    <w:rsid w:val="00506F93"/>
    <w:rsid w:val="005820CF"/>
    <w:rsid w:val="005944D5"/>
    <w:rsid w:val="005E5D70"/>
    <w:rsid w:val="005E6642"/>
    <w:rsid w:val="005F6955"/>
    <w:rsid w:val="00614459"/>
    <w:rsid w:val="00635F7E"/>
    <w:rsid w:val="00662093"/>
    <w:rsid w:val="006653A1"/>
    <w:rsid w:val="00693AC5"/>
    <w:rsid w:val="006C7D35"/>
    <w:rsid w:val="00717A92"/>
    <w:rsid w:val="00723D9D"/>
    <w:rsid w:val="00726EDD"/>
    <w:rsid w:val="00732C44"/>
    <w:rsid w:val="00755D85"/>
    <w:rsid w:val="00775CF1"/>
    <w:rsid w:val="00783F7B"/>
    <w:rsid w:val="00792D28"/>
    <w:rsid w:val="007C242E"/>
    <w:rsid w:val="007F1F82"/>
    <w:rsid w:val="00845E70"/>
    <w:rsid w:val="00863ACF"/>
    <w:rsid w:val="00873C21"/>
    <w:rsid w:val="008A40DE"/>
    <w:rsid w:val="008A5E02"/>
    <w:rsid w:val="009163A1"/>
    <w:rsid w:val="00920ACD"/>
    <w:rsid w:val="009247F8"/>
    <w:rsid w:val="009302C0"/>
    <w:rsid w:val="00944F65"/>
    <w:rsid w:val="009571E0"/>
    <w:rsid w:val="00962E58"/>
    <w:rsid w:val="00992523"/>
    <w:rsid w:val="009A0CCD"/>
    <w:rsid w:val="009A24ED"/>
    <w:rsid w:val="009A55A7"/>
    <w:rsid w:val="009B3AFB"/>
    <w:rsid w:val="009B6101"/>
    <w:rsid w:val="009C571B"/>
    <w:rsid w:val="00A23927"/>
    <w:rsid w:val="00A93952"/>
    <w:rsid w:val="00AA7871"/>
    <w:rsid w:val="00AA7EEB"/>
    <w:rsid w:val="00AB2B26"/>
    <w:rsid w:val="00AC70ED"/>
    <w:rsid w:val="00AD453B"/>
    <w:rsid w:val="00AF0627"/>
    <w:rsid w:val="00AF1E38"/>
    <w:rsid w:val="00B025C1"/>
    <w:rsid w:val="00B720E6"/>
    <w:rsid w:val="00BA67FB"/>
    <w:rsid w:val="00BB53D3"/>
    <w:rsid w:val="00BD7F83"/>
    <w:rsid w:val="00C157AE"/>
    <w:rsid w:val="00CB0424"/>
    <w:rsid w:val="00CB316C"/>
    <w:rsid w:val="00CB4A9B"/>
    <w:rsid w:val="00CC6EDF"/>
    <w:rsid w:val="00CF266E"/>
    <w:rsid w:val="00CF3A77"/>
    <w:rsid w:val="00D1464A"/>
    <w:rsid w:val="00D71A9E"/>
    <w:rsid w:val="00D965B0"/>
    <w:rsid w:val="00D97D5F"/>
    <w:rsid w:val="00DA63F6"/>
    <w:rsid w:val="00DB0E9D"/>
    <w:rsid w:val="00DD26A8"/>
    <w:rsid w:val="00DD5CEF"/>
    <w:rsid w:val="00DF7D7A"/>
    <w:rsid w:val="00E23E56"/>
    <w:rsid w:val="00E77CB0"/>
    <w:rsid w:val="00EA5F72"/>
    <w:rsid w:val="00EE4402"/>
    <w:rsid w:val="00F127D2"/>
    <w:rsid w:val="00F34923"/>
    <w:rsid w:val="00F52323"/>
    <w:rsid w:val="00F53226"/>
    <w:rsid w:val="00F72085"/>
    <w:rsid w:val="00F74515"/>
    <w:rsid w:val="00F75366"/>
    <w:rsid w:val="00FE6C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5"/>
    <o:shapelayout v:ext="edit">
      <o:idmap v:ext="edit" data="1"/>
    </o:shapelayout>
  </w:shapeDefaults>
  <w:decimalSymbol w:val=","/>
  <w:listSeparator w:val=";"/>
  <w15:chartTrackingRefBased/>
  <w15:docId w15:val="{AFE02AEE-813E-49F1-AF8C-C6DEF1B8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Normal Indent" w:semiHidden="1" w:unhideWhenUsed="1"/>
    <w:lsdException w:name="caption" w:qFormat="1"/>
    <w:lsdException w:name="table of figures" w:semiHidden="1" w:unhideWhenUsed="1"/>
    <w:lsdException w:name="envelope address"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464A"/>
  </w:style>
  <w:style w:type="paragraph" w:styleId="Nadpis1">
    <w:name w:val="heading 1"/>
    <w:basedOn w:val="Nadpiskapitoly"/>
    <w:next w:val="Textnormy"/>
    <w:link w:val="Nadpis1Char"/>
    <w:qFormat/>
    <w:rsid w:val="00D1464A"/>
    <w:pPr>
      <w:outlineLvl w:val="0"/>
    </w:pPr>
  </w:style>
  <w:style w:type="paragraph" w:styleId="Nadpis2">
    <w:name w:val="heading 2"/>
    <w:basedOn w:val="Nadpislnku"/>
    <w:next w:val="Textnormy"/>
    <w:qFormat/>
    <w:rsid w:val="00D1464A"/>
    <w:pPr>
      <w:outlineLvl w:val="1"/>
    </w:pPr>
  </w:style>
  <w:style w:type="paragraph" w:styleId="Nadpis3">
    <w:name w:val="heading 3"/>
    <w:basedOn w:val="Nadpislnku"/>
    <w:next w:val="Textnormy"/>
    <w:qFormat/>
    <w:rsid w:val="00D1464A"/>
    <w:pPr>
      <w:outlineLvl w:val="2"/>
    </w:pPr>
  </w:style>
  <w:style w:type="paragraph" w:styleId="Nadpis4">
    <w:name w:val="heading 4"/>
    <w:basedOn w:val="Nadpislnku"/>
    <w:next w:val="Textnormy"/>
    <w:qFormat/>
    <w:rsid w:val="00D1464A"/>
    <w:pPr>
      <w:outlineLvl w:val="3"/>
    </w:pPr>
  </w:style>
  <w:style w:type="paragraph" w:styleId="Nadpis5">
    <w:name w:val="heading 5"/>
    <w:basedOn w:val="Nadpislnku"/>
    <w:next w:val="Textnormy"/>
    <w:unhideWhenUsed/>
    <w:qFormat/>
    <w:rsid w:val="00D1464A"/>
    <w:pPr>
      <w:outlineLvl w:val="4"/>
    </w:pPr>
  </w:style>
  <w:style w:type="paragraph" w:styleId="Nadpis6">
    <w:name w:val="heading 6"/>
    <w:basedOn w:val="Nadpislnku"/>
    <w:next w:val="Textnormy"/>
    <w:unhideWhenUsed/>
    <w:qFormat/>
    <w:rsid w:val="00D1464A"/>
    <w:pPr>
      <w:outlineLvl w:val="5"/>
    </w:pPr>
  </w:style>
  <w:style w:type="paragraph" w:styleId="Nadpis7">
    <w:name w:val="heading 7"/>
    <w:basedOn w:val="Nadpislnku"/>
    <w:next w:val="Textnormy"/>
    <w:unhideWhenUsed/>
    <w:qFormat/>
    <w:rsid w:val="00D1464A"/>
    <w:pPr>
      <w:outlineLvl w:val="6"/>
    </w:pPr>
  </w:style>
  <w:style w:type="paragraph" w:styleId="Nadpis8">
    <w:name w:val="heading 8"/>
    <w:basedOn w:val="Nadpislnku"/>
    <w:next w:val="Textnormy"/>
    <w:unhideWhenUsed/>
    <w:qFormat/>
    <w:rsid w:val="00D1464A"/>
    <w:pPr>
      <w:outlineLvl w:val="7"/>
    </w:pPr>
  </w:style>
  <w:style w:type="paragraph" w:styleId="Nadpis9">
    <w:name w:val="heading 9"/>
    <w:basedOn w:val="Nadpislnku"/>
    <w:next w:val="Textnormy"/>
    <w:unhideWhenUsed/>
    <w:qFormat/>
    <w:rsid w:val="00D1464A"/>
    <w:pPr>
      <w:outlineLvl w:val="8"/>
    </w:pPr>
  </w:style>
  <w:style w:type="character" w:default="1" w:styleId="Standardnpsmoodstavce">
    <w:name w:val="Default Paragraph Font"/>
    <w:uiPriority w:val="1"/>
    <w:semiHidden/>
    <w:unhideWhenUsed/>
    <w:rsid w:val="00D1464A"/>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D1464A"/>
  </w:style>
  <w:style w:type="paragraph" w:customStyle="1" w:styleId="Nadpiskapitoly">
    <w:name w:val="Nadpis kapitoly"/>
    <w:basedOn w:val="Nadpislnku"/>
    <w:next w:val="Textnormy"/>
    <w:rsid w:val="00D1464A"/>
    <w:pPr>
      <w:spacing w:before="360" w:after="180"/>
    </w:pPr>
    <w:rPr>
      <w:sz w:val="24"/>
    </w:rPr>
  </w:style>
  <w:style w:type="paragraph" w:customStyle="1" w:styleId="Nadpislnku">
    <w:name w:val="Nadpis článku"/>
    <w:basedOn w:val="Textnormy"/>
    <w:next w:val="Textnormy"/>
    <w:link w:val="NadpislnkuChar"/>
    <w:rsid w:val="00D1464A"/>
    <w:pPr>
      <w:keepNext/>
      <w:keepLines/>
      <w:suppressAutoHyphens/>
      <w:spacing w:before="240"/>
      <w:jc w:val="left"/>
    </w:pPr>
    <w:rPr>
      <w:b/>
    </w:rPr>
  </w:style>
  <w:style w:type="paragraph" w:customStyle="1" w:styleId="Textnormy">
    <w:name w:val="Text normy"/>
    <w:link w:val="TextnormyChar1"/>
    <w:rsid w:val="00D1464A"/>
    <w:pPr>
      <w:spacing w:after="120"/>
      <w:jc w:val="both"/>
    </w:pPr>
  </w:style>
  <w:style w:type="paragraph" w:customStyle="1" w:styleId="1StrTrZn">
    <w:name w:val="1StrTrZn"/>
    <w:basedOn w:val="Textnormy"/>
    <w:rsid w:val="00D1464A"/>
    <w:pPr>
      <w:spacing w:before="80" w:after="80" w:line="340" w:lineRule="exact"/>
      <w:jc w:val="left"/>
    </w:pPr>
    <w:rPr>
      <w:sz w:val="28"/>
    </w:rPr>
  </w:style>
  <w:style w:type="paragraph" w:customStyle="1" w:styleId="1StrNN-2-23">
    <w:name w:val="1StrNN-2-23"/>
    <w:basedOn w:val="1StrNN-1-23"/>
    <w:rsid w:val="00D1464A"/>
    <w:pPr>
      <w:spacing w:before="480"/>
    </w:pPr>
  </w:style>
  <w:style w:type="paragraph" w:customStyle="1" w:styleId="1StrNN-1-23">
    <w:name w:val="1StrNN-1-23"/>
    <w:basedOn w:val="Textnormy"/>
    <w:rsid w:val="00D1464A"/>
    <w:pPr>
      <w:widowControl w:val="0"/>
      <w:suppressAutoHyphens/>
      <w:spacing w:before="640" w:after="0" w:line="340" w:lineRule="exact"/>
      <w:ind w:right="567"/>
      <w:jc w:val="left"/>
    </w:pPr>
    <w:rPr>
      <w:b/>
      <w:sz w:val="28"/>
    </w:rPr>
  </w:style>
  <w:style w:type="paragraph" w:customStyle="1" w:styleId="Cizojazynnzev">
    <w:name w:val="Cizojazyčný název"/>
    <w:basedOn w:val="Textnormy"/>
    <w:link w:val="CizojazynnzevChar"/>
    <w:rsid w:val="00D1464A"/>
    <w:pPr>
      <w:widowControl w:val="0"/>
      <w:suppressAutoHyphens/>
      <w:jc w:val="left"/>
    </w:pPr>
    <w:rPr>
      <w:sz w:val="18"/>
      <w:lang w:val="en-GB"/>
    </w:rPr>
  </w:style>
  <w:style w:type="paragraph" w:styleId="slovanseznam">
    <w:name w:val="List Number"/>
    <w:basedOn w:val="Textnormy"/>
    <w:rsid w:val="00D1464A"/>
    <w:pPr>
      <w:numPr>
        <w:numId w:val="2"/>
      </w:numPr>
    </w:pPr>
  </w:style>
  <w:style w:type="paragraph" w:styleId="Rejstk1">
    <w:name w:val="index 1"/>
    <w:basedOn w:val="Textnormy"/>
    <w:next w:val="Textnormy"/>
    <w:rsid w:val="00D1464A"/>
    <w:pPr>
      <w:tabs>
        <w:tab w:val="right" w:pos="9923"/>
      </w:tabs>
      <w:spacing w:after="60"/>
      <w:ind w:left="198" w:hanging="198"/>
      <w:jc w:val="left"/>
    </w:pPr>
    <w:rPr>
      <w:sz w:val="18"/>
    </w:rPr>
  </w:style>
  <w:style w:type="paragraph" w:customStyle="1" w:styleId="Shodnost">
    <w:name w:val="Shodnost"/>
    <w:basedOn w:val="Textnormy"/>
    <w:next w:val="Textnormy"/>
    <w:rsid w:val="00D1464A"/>
    <w:pPr>
      <w:keepNext/>
      <w:keepLines/>
      <w:spacing w:before="240" w:after="360"/>
      <w:jc w:val="right"/>
    </w:pPr>
    <w:rPr>
      <w:sz w:val="28"/>
    </w:rPr>
  </w:style>
  <w:style w:type="character" w:styleId="slostrnky">
    <w:name w:val="page number"/>
    <w:basedOn w:val="Standardnpsmoodstavce"/>
    <w:rsid w:val="00D1464A"/>
    <w:rPr>
      <w:rFonts w:ascii="Arial" w:hAnsi="Arial"/>
      <w:sz w:val="18"/>
    </w:rPr>
  </w:style>
  <w:style w:type="paragraph" w:customStyle="1" w:styleId="Poznmka">
    <w:name w:val="Poznámka"/>
    <w:basedOn w:val="Textnormy"/>
    <w:next w:val="Textnormy"/>
    <w:rsid w:val="00D1464A"/>
    <w:pPr>
      <w:spacing w:before="200" w:after="200"/>
    </w:pPr>
    <w:rPr>
      <w:sz w:val="18"/>
    </w:rPr>
  </w:style>
  <w:style w:type="paragraph" w:customStyle="1" w:styleId="Seznampoznmek">
    <w:name w:val="Seznam poznámek"/>
    <w:basedOn w:val="Poznmka"/>
    <w:rsid w:val="00D1464A"/>
    <w:pPr>
      <w:spacing w:before="0" w:after="120"/>
      <w:ind w:left="284" w:hanging="284"/>
    </w:pPr>
  </w:style>
  <w:style w:type="paragraph" w:styleId="Zhlav">
    <w:name w:val="header"/>
    <w:basedOn w:val="Textnormy"/>
    <w:link w:val="ZhlavChar"/>
    <w:rsid w:val="00D1464A"/>
    <w:pPr>
      <w:spacing w:after="360"/>
    </w:pPr>
    <w:rPr>
      <w:sz w:val="18"/>
    </w:rPr>
  </w:style>
  <w:style w:type="paragraph" w:styleId="Zpat">
    <w:name w:val="footer"/>
    <w:basedOn w:val="Textnormy"/>
    <w:link w:val="ZpatChar"/>
    <w:rsid w:val="00D1464A"/>
    <w:pPr>
      <w:jc w:val="center"/>
    </w:pPr>
    <w:rPr>
      <w:sz w:val="18"/>
    </w:rPr>
  </w:style>
  <w:style w:type="paragraph" w:styleId="Zkladntext">
    <w:name w:val="Body Text"/>
    <w:basedOn w:val="Normln"/>
    <w:link w:val="ZkladntextChar"/>
    <w:semiHidden/>
    <w:rsid w:val="00D1464A"/>
    <w:pPr>
      <w:spacing w:after="120"/>
    </w:pPr>
  </w:style>
  <w:style w:type="paragraph" w:styleId="Obsah2">
    <w:name w:val="toc 2"/>
    <w:basedOn w:val="Obsah1"/>
    <w:next w:val="Textnormy"/>
    <w:uiPriority w:val="39"/>
    <w:rsid w:val="00D1464A"/>
  </w:style>
  <w:style w:type="paragraph" w:styleId="Obsah1">
    <w:name w:val="toc 1"/>
    <w:basedOn w:val="Textnormy"/>
    <w:next w:val="Textnormy"/>
    <w:uiPriority w:val="39"/>
    <w:rsid w:val="00D1464A"/>
    <w:pPr>
      <w:tabs>
        <w:tab w:val="right" w:leader="dot" w:pos="9923"/>
      </w:tabs>
      <w:ind w:left="567" w:hanging="567"/>
      <w:jc w:val="left"/>
    </w:pPr>
    <w:rPr>
      <w:noProof/>
      <w:sz w:val="18"/>
    </w:rPr>
  </w:style>
  <w:style w:type="paragraph" w:styleId="Obsah5">
    <w:name w:val="toc 5"/>
    <w:basedOn w:val="Obsah1"/>
    <w:next w:val="Textnormy"/>
    <w:rsid w:val="00D1464A"/>
  </w:style>
  <w:style w:type="paragraph" w:styleId="Obsah3">
    <w:name w:val="toc 3"/>
    <w:basedOn w:val="Obsah1"/>
    <w:next w:val="Textnormy"/>
    <w:rsid w:val="00D1464A"/>
  </w:style>
  <w:style w:type="paragraph" w:styleId="Obsah4">
    <w:name w:val="toc 4"/>
    <w:basedOn w:val="Obsah1"/>
    <w:next w:val="Textnormy"/>
    <w:rsid w:val="00D1464A"/>
  </w:style>
  <w:style w:type="paragraph" w:styleId="Obsah6">
    <w:name w:val="toc 6"/>
    <w:basedOn w:val="Obsah1"/>
    <w:next w:val="Textnormy"/>
    <w:semiHidden/>
    <w:rsid w:val="00D1464A"/>
  </w:style>
  <w:style w:type="paragraph" w:styleId="Obsah7">
    <w:name w:val="toc 7"/>
    <w:basedOn w:val="Obsah1"/>
    <w:next w:val="Textnormy"/>
    <w:semiHidden/>
    <w:rsid w:val="00D1464A"/>
  </w:style>
  <w:style w:type="paragraph" w:styleId="Obsah8">
    <w:name w:val="toc 8"/>
    <w:basedOn w:val="Obsah1"/>
    <w:next w:val="Textnormy"/>
    <w:semiHidden/>
    <w:rsid w:val="00D1464A"/>
  </w:style>
  <w:style w:type="character" w:styleId="Znakapoznpodarou">
    <w:name w:val="footnote reference"/>
    <w:basedOn w:val="Standardnpsmoodstavce"/>
    <w:rsid w:val="00D1464A"/>
    <w:rPr>
      <w:vertAlign w:val="superscript"/>
    </w:rPr>
  </w:style>
  <w:style w:type="paragraph" w:customStyle="1" w:styleId="ABCseznamCZ">
    <w:name w:val="ABC seznamCZ"/>
    <w:basedOn w:val="Textnormy"/>
    <w:rsid w:val="00D1464A"/>
    <w:pPr>
      <w:numPr>
        <w:numId w:val="11"/>
      </w:numPr>
    </w:pPr>
  </w:style>
  <w:style w:type="paragraph" w:customStyle="1" w:styleId="slovanseznamvnorm">
    <w:name w:val="Číslovaný seznam v normě"/>
    <w:basedOn w:val="Textnormy"/>
    <w:rsid w:val="00D1464A"/>
    <w:pPr>
      <w:numPr>
        <w:numId w:val="3"/>
      </w:numPr>
      <w:tabs>
        <w:tab w:val="clear" w:pos="360"/>
      </w:tabs>
    </w:pPr>
  </w:style>
  <w:style w:type="paragraph" w:customStyle="1" w:styleId="Seznamvnorm">
    <w:name w:val="Seznam v normě"/>
    <w:basedOn w:val="Textnormy"/>
    <w:rsid w:val="00D1464A"/>
    <w:pPr>
      <w:numPr>
        <w:numId w:val="4"/>
      </w:numPr>
      <w:tabs>
        <w:tab w:val="clear" w:pos="360"/>
      </w:tabs>
    </w:pPr>
  </w:style>
  <w:style w:type="paragraph" w:customStyle="1" w:styleId="Obrzek">
    <w:name w:val="Obrázek"/>
    <w:basedOn w:val="Textnormy"/>
    <w:next w:val="Normln"/>
    <w:rsid w:val="00D1464A"/>
    <w:pPr>
      <w:keepNext/>
      <w:spacing w:after="160"/>
      <w:jc w:val="center"/>
    </w:pPr>
  </w:style>
  <w:style w:type="paragraph" w:customStyle="1" w:styleId="NadpisTabObr">
    <w:name w:val="NadpisTabObr"/>
    <w:basedOn w:val="Nadpislnku"/>
    <w:next w:val="Textnormy"/>
    <w:rsid w:val="00783F7B"/>
    <w:pPr>
      <w:keepNext w:val="0"/>
      <w:jc w:val="center"/>
    </w:pPr>
  </w:style>
  <w:style w:type="paragraph" w:customStyle="1" w:styleId="Abecednseznam">
    <w:name w:val="Abecední seznam"/>
    <w:basedOn w:val="Textnormy"/>
    <w:rsid w:val="00D1464A"/>
    <w:pPr>
      <w:numPr>
        <w:numId w:val="1"/>
      </w:numPr>
      <w:tabs>
        <w:tab w:val="clear" w:pos="360"/>
      </w:tabs>
    </w:pPr>
  </w:style>
  <w:style w:type="paragraph" w:styleId="Textpoznpodarou">
    <w:name w:val="footnote text"/>
    <w:basedOn w:val="Poznmka"/>
    <w:link w:val="TextpoznpodarouChar"/>
    <w:rsid w:val="00D1464A"/>
    <w:pPr>
      <w:spacing w:before="60" w:after="0"/>
    </w:pPr>
  </w:style>
  <w:style w:type="paragraph" w:styleId="Obsah9">
    <w:name w:val="toc 9"/>
    <w:basedOn w:val="Normln"/>
    <w:next w:val="Normln"/>
    <w:autoRedefine/>
    <w:semiHidden/>
    <w:rsid w:val="00D1464A"/>
    <w:pPr>
      <w:ind w:left="1600"/>
    </w:pPr>
  </w:style>
  <w:style w:type="paragraph" w:customStyle="1" w:styleId="1Str1Rad">
    <w:name w:val="1Str1Rad"/>
    <w:basedOn w:val="Textnormy"/>
    <w:rsid w:val="00D1464A"/>
    <w:pPr>
      <w:widowControl w:val="0"/>
      <w:tabs>
        <w:tab w:val="left" w:pos="7371"/>
        <w:tab w:val="right" w:pos="9923"/>
      </w:tabs>
    </w:pPr>
  </w:style>
  <w:style w:type="paragraph" w:customStyle="1" w:styleId="esknorma">
    <w:name w:val="Česká norma"/>
    <w:basedOn w:val="Textnormy"/>
    <w:next w:val="1Str1Rad"/>
    <w:rsid w:val="00D1464A"/>
    <w:pPr>
      <w:spacing w:after="0"/>
      <w:jc w:val="left"/>
    </w:pPr>
    <w:rPr>
      <w:sz w:val="28"/>
    </w:rPr>
  </w:style>
  <w:style w:type="paragraph" w:customStyle="1" w:styleId="Tir">
    <w:name w:val="Tiráž"/>
    <w:basedOn w:val="Normln"/>
    <w:rsid w:val="00D1464A"/>
    <w:pPr>
      <w:framePr w:w="9356" w:hSpace="142" w:wrap="around" w:hAnchor="margin" w:yAlign="bottom" w:anchorLock="1"/>
    </w:pPr>
    <w:rPr>
      <w:noProof/>
      <w:sz w:val="16"/>
    </w:rPr>
  </w:style>
  <w:style w:type="paragraph" w:styleId="Hlavikarejstku">
    <w:name w:val="index heading"/>
    <w:basedOn w:val="Textnormy"/>
    <w:next w:val="Rejstk1"/>
    <w:rsid w:val="00D1464A"/>
    <w:pPr>
      <w:spacing w:before="180" w:after="60"/>
      <w:jc w:val="left"/>
    </w:pPr>
    <w:rPr>
      <w:b/>
      <w:sz w:val="18"/>
    </w:rPr>
  </w:style>
  <w:style w:type="paragraph" w:customStyle="1" w:styleId="Texttabulky">
    <w:name w:val="Text tabulky"/>
    <w:basedOn w:val="Textnormy"/>
    <w:rsid w:val="00D1464A"/>
    <w:pPr>
      <w:suppressAutoHyphens/>
      <w:spacing w:before="60" w:after="60"/>
      <w:jc w:val="left"/>
    </w:pPr>
    <w:rPr>
      <w:sz w:val="18"/>
    </w:rPr>
  </w:style>
  <w:style w:type="paragraph" w:customStyle="1" w:styleId="1StrCopyright">
    <w:name w:val="1StrCopyright"/>
    <w:basedOn w:val="Zpat"/>
    <w:rsid w:val="00D1464A"/>
    <w:pPr>
      <w:tabs>
        <w:tab w:val="left" w:pos="2155"/>
        <w:tab w:val="right" w:pos="9923"/>
      </w:tabs>
      <w:spacing w:after="0"/>
      <w:ind w:left="2126" w:hanging="2126"/>
      <w:jc w:val="left"/>
    </w:pPr>
  </w:style>
  <w:style w:type="paragraph" w:customStyle="1" w:styleId="EvropNorma">
    <w:name w:val="EvropNorma"/>
    <w:basedOn w:val="Textnormy"/>
    <w:rsid w:val="00D1464A"/>
    <w:pPr>
      <w:pageBreakBefore/>
      <w:pBdr>
        <w:bottom w:val="single" w:sz="6" w:space="6" w:color="auto"/>
      </w:pBdr>
      <w:tabs>
        <w:tab w:val="left" w:pos="8505"/>
      </w:tabs>
      <w:jc w:val="left"/>
    </w:pPr>
    <w:rPr>
      <w:b/>
      <w:kern w:val="28"/>
      <w:sz w:val="24"/>
    </w:rPr>
  </w:style>
  <w:style w:type="paragraph" w:customStyle="1" w:styleId="ICS">
    <w:name w:val="ICS"/>
    <w:basedOn w:val="Textnormy"/>
    <w:rsid w:val="00D1464A"/>
    <w:pPr>
      <w:tabs>
        <w:tab w:val="right" w:pos="9923"/>
      </w:tabs>
      <w:spacing w:after="480"/>
    </w:pPr>
    <w:rPr>
      <w:kern w:val="28"/>
    </w:rPr>
  </w:style>
  <w:style w:type="paragraph" w:customStyle="1" w:styleId="NzNorCZ">
    <w:name w:val="NázNorCZ"/>
    <w:basedOn w:val="Textnormy"/>
    <w:next w:val="NzNorUS"/>
    <w:rsid w:val="00D1464A"/>
    <w:pPr>
      <w:suppressAutoHyphens/>
      <w:spacing w:after="240"/>
      <w:ind w:left="1134" w:right="1134"/>
      <w:jc w:val="center"/>
    </w:pPr>
    <w:rPr>
      <w:b/>
    </w:rPr>
  </w:style>
  <w:style w:type="paragraph" w:customStyle="1" w:styleId="NzNorUS">
    <w:name w:val="NázNorUS"/>
    <w:basedOn w:val="Textnormy"/>
    <w:next w:val="NzNorFraGer"/>
    <w:rsid w:val="00D1464A"/>
    <w:pPr>
      <w:suppressAutoHyphens/>
      <w:spacing w:after="240"/>
      <w:ind w:left="1134" w:right="1134"/>
      <w:jc w:val="center"/>
    </w:pPr>
    <w:rPr>
      <w:lang w:val="en-GB"/>
    </w:rPr>
  </w:style>
  <w:style w:type="paragraph" w:customStyle="1" w:styleId="NzNorFraGer">
    <w:name w:val="NázNorFraGer"/>
    <w:basedOn w:val="Textnormy"/>
    <w:next w:val="Textnormy"/>
    <w:rsid w:val="00D1464A"/>
    <w:pPr>
      <w:tabs>
        <w:tab w:val="left" w:pos="4536"/>
      </w:tabs>
      <w:suppressAutoHyphens/>
      <w:spacing w:after="480"/>
      <w:jc w:val="left"/>
    </w:pPr>
  </w:style>
  <w:style w:type="paragraph" w:customStyle="1" w:styleId="1StrCN">
    <w:name w:val="1StrCN"/>
    <w:basedOn w:val="Textnormy"/>
    <w:next w:val="1StrTrZn"/>
    <w:rsid w:val="00D1464A"/>
    <w:pPr>
      <w:spacing w:before="180" w:after="0" w:line="340" w:lineRule="exact"/>
      <w:jc w:val="left"/>
    </w:pPr>
    <w:rPr>
      <w:b/>
      <w:noProof/>
      <w:sz w:val="32"/>
    </w:rPr>
  </w:style>
  <w:style w:type="paragraph" w:customStyle="1" w:styleId="1StrNN-3-23">
    <w:name w:val="1StrNN-3-23"/>
    <w:basedOn w:val="1StrNN-1-23"/>
    <w:rsid w:val="00D1464A"/>
    <w:pPr>
      <w:spacing w:before="300"/>
    </w:pPr>
  </w:style>
  <w:style w:type="paragraph" w:customStyle="1" w:styleId="1StrNN-X">
    <w:name w:val="1StrNN-X"/>
    <w:basedOn w:val="1StrNN-1-23"/>
    <w:rsid w:val="00D1464A"/>
    <w:pPr>
      <w:spacing w:before="180" w:after="180"/>
    </w:pPr>
  </w:style>
  <w:style w:type="paragraph" w:styleId="Titulek">
    <w:name w:val="caption"/>
    <w:basedOn w:val="Normln"/>
    <w:next w:val="Normln"/>
    <w:unhideWhenUsed/>
    <w:qFormat/>
    <w:rsid w:val="00D1464A"/>
    <w:pPr>
      <w:spacing w:before="120" w:after="120"/>
    </w:pPr>
    <w:rPr>
      <w:b/>
    </w:rPr>
  </w:style>
  <w:style w:type="paragraph" w:customStyle="1" w:styleId="1StrNN-1-4">
    <w:name w:val="1StrNN-1-4"/>
    <w:basedOn w:val="1StrNN-1-23"/>
    <w:rsid w:val="00D1464A"/>
    <w:pPr>
      <w:spacing w:before="800"/>
    </w:pPr>
  </w:style>
  <w:style w:type="paragraph" w:customStyle="1" w:styleId="1StrNN-2-4">
    <w:name w:val="1StrNN-2-4"/>
    <w:basedOn w:val="1StrNN-1-23"/>
    <w:rsid w:val="00D1464A"/>
  </w:style>
  <w:style w:type="paragraph" w:customStyle="1" w:styleId="1StrNN-3-4">
    <w:name w:val="1StrNN-3-4"/>
    <w:basedOn w:val="1StrNN-1-23"/>
    <w:rsid w:val="00D1464A"/>
    <w:pPr>
      <w:spacing w:before="460"/>
    </w:pPr>
  </w:style>
  <w:style w:type="paragraph" w:customStyle="1" w:styleId="1StrNN-4-4">
    <w:name w:val="1StrNN-4-4"/>
    <w:basedOn w:val="1StrNN-1-23"/>
    <w:rsid w:val="00D1464A"/>
    <w:pPr>
      <w:spacing w:before="340"/>
    </w:pPr>
  </w:style>
  <w:style w:type="paragraph" w:customStyle="1" w:styleId="ABCSeznamUS">
    <w:name w:val="ABC SeznamUS"/>
    <w:basedOn w:val="Textnormy"/>
    <w:rsid w:val="00D1464A"/>
    <w:pPr>
      <w:numPr>
        <w:numId w:val="5"/>
      </w:numPr>
      <w:tabs>
        <w:tab w:val="clear" w:pos="360"/>
      </w:tabs>
    </w:pPr>
    <w:rPr>
      <w:snapToGrid w:val="0"/>
      <w:lang w:val="en-US"/>
    </w:rPr>
  </w:style>
  <w:style w:type="paragraph" w:customStyle="1" w:styleId="TextnormyUS">
    <w:name w:val="Text normy US"/>
    <w:basedOn w:val="Textnormy"/>
    <w:autoRedefine/>
    <w:rsid w:val="00D1464A"/>
    <w:pPr>
      <w:spacing w:after="0"/>
    </w:pPr>
    <w:rPr>
      <w:noProof/>
    </w:rPr>
  </w:style>
  <w:style w:type="paragraph" w:customStyle="1" w:styleId="Textnormy1str">
    <w:name w:val="Text normy 1str"/>
    <w:basedOn w:val="Textnormy"/>
    <w:rsid w:val="00D1464A"/>
    <w:pPr>
      <w:jc w:val="left"/>
    </w:pPr>
  </w:style>
  <w:style w:type="paragraph" w:customStyle="1" w:styleId="1StrNN-4-3">
    <w:name w:val="1StrNN-4-3"/>
    <w:basedOn w:val="1StrNN-1-23"/>
    <w:rsid w:val="00D1464A"/>
    <w:pPr>
      <w:spacing w:before="160"/>
    </w:pPr>
  </w:style>
  <w:style w:type="paragraph" w:customStyle="1" w:styleId="Upozornn">
    <w:name w:val="Upozornění"/>
    <w:basedOn w:val="Normln"/>
    <w:rsid w:val="00D1464A"/>
    <w:pPr>
      <w:framePr w:w="9356" w:hSpace="142" w:wrap="around" w:hAnchor="margin" w:yAlign="bottom" w:anchorLock="1"/>
      <w:jc w:val="both"/>
    </w:pPr>
    <w:rPr>
      <w:sz w:val="18"/>
    </w:rPr>
  </w:style>
  <w:style w:type="paragraph" w:styleId="Zptenadresanaoblku">
    <w:name w:val="envelope return"/>
    <w:basedOn w:val="Normln"/>
    <w:semiHidden/>
    <w:rsid w:val="00D1464A"/>
  </w:style>
  <w:style w:type="character" w:customStyle="1" w:styleId="TextnormyChar1">
    <w:name w:val="Text normy Char1"/>
    <w:basedOn w:val="Standardnpsmoodstavce"/>
    <w:link w:val="Textnormy"/>
    <w:rsid w:val="00D1464A"/>
  </w:style>
  <w:style w:type="paragraph" w:customStyle="1" w:styleId="bibliografie">
    <w:name w:val="bibliografie"/>
    <w:basedOn w:val="slovanseznamvnorm"/>
    <w:next w:val="Textnormy"/>
    <w:rsid w:val="00D1464A"/>
    <w:pPr>
      <w:numPr>
        <w:numId w:val="8"/>
      </w:numPr>
      <w:tabs>
        <w:tab w:val="clear" w:pos="360"/>
      </w:tabs>
      <w:ind w:left="567" w:hanging="567"/>
    </w:pPr>
  </w:style>
  <w:style w:type="character" w:customStyle="1" w:styleId="Nadpis1Char">
    <w:name w:val="Nadpis 1 Char"/>
    <w:link w:val="Nadpis1"/>
    <w:rsid w:val="00D1464A"/>
    <w:rPr>
      <w:b/>
      <w:sz w:val="24"/>
    </w:rPr>
  </w:style>
  <w:style w:type="character" w:styleId="Hypertextovodkaz">
    <w:name w:val="Hyperlink"/>
    <w:unhideWhenUsed/>
    <w:rsid w:val="00D1464A"/>
    <w:rPr>
      <w:color w:val="0000FF"/>
      <w:u w:val="single"/>
    </w:rPr>
  </w:style>
  <w:style w:type="table" w:styleId="Mkatabulky">
    <w:name w:val="Table Grid"/>
    <w:basedOn w:val="Normlntabulka"/>
    <w:rsid w:val="00D1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nhideWhenUsed/>
    <w:rsid w:val="00D1464A"/>
    <w:rPr>
      <w:sz w:val="16"/>
      <w:szCs w:val="16"/>
    </w:rPr>
  </w:style>
  <w:style w:type="paragraph" w:styleId="Textbubliny">
    <w:name w:val="Balloon Text"/>
    <w:basedOn w:val="Normln"/>
    <w:link w:val="TextbublinyChar"/>
    <w:semiHidden/>
    <w:rsid w:val="00D1464A"/>
    <w:rPr>
      <w:rFonts w:ascii="Tahoma" w:hAnsi="Tahoma" w:cs="Tahoma"/>
      <w:sz w:val="16"/>
      <w:szCs w:val="16"/>
    </w:rPr>
  </w:style>
  <w:style w:type="character" w:customStyle="1" w:styleId="TextbublinyChar">
    <w:name w:val="Text bubliny Char"/>
    <w:link w:val="Textbubliny"/>
    <w:semiHidden/>
    <w:rsid w:val="00D1464A"/>
    <w:rPr>
      <w:rFonts w:ascii="Tahoma" w:hAnsi="Tahoma" w:cs="Tahoma"/>
      <w:sz w:val="16"/>
      <w:szCs w:val="16"/>
    </w:rPr>
  </w:style>
  <w:style w:type="paragraph" w:styleId="Textkomente">
    <w:name w:val="annotation text"/>
    <w:basedOn w:val="Normln"/>
    <w:link w:val="TextkomenteChar"/>
    <w:semiHidden/>
    <w:rsid w:val="00D1464A"/>
  </w:style>
  <w:style w:type="character" w:customStyle="1" w:styleId="TextkomenteChar">
    <w:name w:val="Text komentáře Char"/>
    <w:basedOn w:val="Standardnpsmoodstavce"/>
    <w:link w:val="Textkomente"/>
    <w:semiHidden/>
    <w:rsid w:val="00D1464A"/>
  </w:style>
  <w:style w:type="character" w:customStyle="1" w:styleId="TextnormyCharChar">
    <w:name w:val="Text normy Char Char"/>
    <w:semiHidden/>
    <w:rsid w:val="00D1464A"/>
    <w:rPr>
      <w:rFonts w:ascii="Arial" w:hAnsi="Arial"/>
      <w:noProof w:val="0"/>
      <w:lang w:val="cs-CZ" w:eastAsia="cs-CZ" w:bidi="ar-SA"/>
    </w:rPr>
  </w:style>
  <w:style w:type="character" w:customStyle="1" w:styleId="ZkladntextChar">
    <w:name w:val="Základní text Char"/>
    <w:basedOn w:val="Standardnpsmoodstavce"/>
    <w:link w:val="Zkladntext"/>
    <w:semiHidden/>
    <w:rsid w:val="00D1464A"/>
  </w:style>
  <w:style w:type="paragraph" w:styleId="Pedmtkomente">
    <w:name w:val="annotation subject"/>
    <w:basedOn w:val="Textkomente"/>
    <w:next w:val="Textkomente"/>
    <w:link w:val="PedmtkomenteChar"/>
    <w:semiHidden/>
    <w:unhideWhenUsed/>
    <w:rsid w:val="00D1464A"/>
    <w:rPr>
      <w:b/>
      <w:bCs/>
    </w:rPr>
  </w:style>
  <w:style w:type="character" w:customStyle="1" w:styleId="PedmtkomenteChar">
    <w:name w:val="Předmět komentáře Char"/>
    <w:basedOn w:val="TextkomenteChar"/>
    <w:link w:val="Pedmtkomente"/>
    <w:semiHidden/>
    <w:rsid w:val="00D1464A"/>
    <w:rPr>
      <w:b/>
      <w:bCs/>
    </w:rPr>
  </w:style>
  <w:style w:type="character" w:customStyle="1" w:styleId="CizojazynnzevChar">
    <w:name w:val="Cizojazyčný název Char"/>
    <w:link w:val="Cizojazynnzev"/>
    <w:locked/>
    <w:rsid w:val="00474577"/>
    <w:rPr>
      <w:sz w:val="18"/>
      <w:lang w:val="en-GB"/>
    </w:rPr>
  </w:style>
  <w:style w:type="character" w:customStyle="1" w:styleId="ZhlavChar">
    <w:name w:val="Záhlaví Char"/>
    <w:basedOn w:val="Standardnpsmoodstavce"/>
    <w:link w:val="Zhlav"/>
    <w:rsid w:val="00474577"/>
    <w:rPr>
      <w:sz w:val="18"/>
    </w:rPr>
  </w:style>
  <w:style w:type="character" w:customStyle="1" w:styleId="ZpatChar">
    <w:name w:val="Zápatí Char"/>
    <w:basedOn w:val="Standardnpsmoodstavce"/>
    <w:link w:val="Zpat"/>
    <w:rsid w:val="00474577"/>
    <w:rPr>
      <w:sz w:val="18"/>
    </w:rPr>
  </w:style>
  <w:style w:type="character" w:customStyle="1" w:styleId="TextpoznpodarouChar">
    <w:name w:val="Text pozn. pod čarou Char"/>
    <w:basedOn w:val="Standardnpsmoodstavce"/>
    <w:link w:val="Textpoznpodarou"/>
    <w:rsid w:val="00474577"/>
    <w:rPr>
      <w:sz w:val="18"/>
    </w:rPr>
  </w:style>
  <w:style w:type="character" w:customStyle="1" w:styleId="NadpislnkuChar">
    <w:name w:val="Nadpis článku Char"/>
    <w:link w:val="Nadpislnku"/>
    <w:rsid w:val="00474577"/>
    <w:rPr>
      <w:b/>
    </w:rPr>
  </w:style>
  <w:style w:type="paragraph" w:customStyle="1" w:styleId="NadpisObr">
    <w:name w:val="NadpisObr"/>
    <w:basedOn w:val="Nadpis4"/>
    <w:next w:val="Textnormy"/>
    <w:qFormat/>
    <w:rsid w:val="00D1464A"/>
    <w:pPr>
      <w:keepNext w:val="0"/>
      <w:keepLines w:val="0"/>
      <w:widowControl w:val="0"/>
      <w:jc w:val="center"/>
    </w:pPr>
  </w:style>
  <w:style w:type="paragraph" w:customStyle="1" w:styleId="NadpisTab">
    <w:name w:val="NadpisTab"/>
    <w:basedOn w:val="Nadpis4"/>
    <w:next w:val="Textnormy"/>
    <w:qFormat/>
    <w:rsid w:val="00D1464A"/>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emf"/><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iso.org/obp"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lectropedia.org/"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Edicni\SABLONY\2020\TNI_T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TNI_TR.dotx</Template>
  <TotalTime>10</TotalTime>
  <Pages>9</Pages>
  <Words>1385</Words>
  <Characters>8919</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ÚNMZ</Company>
  <LinksUpToDate>false</LinksUpToDate>
  <CharactersWithSpaces>10284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Koutská Miloslava</dc:creator>
  <cp:keywords/>
  <cp:lastModifiedBy>Radimská Lucie</cp:lastModifiedBy>
  <cp:revision>5</cp:revision>
  <cp:lastPrinted>2017-12-29T08:14:00Z</cp:lastPrinted>
  <dcterms:created xsi:type="dcterms:W3CDTF">2019-11-28T09:15:00Z</dcterms:created>
  <dcterms:modified xsi:type="dcterms:W3CDTF">2019-12-03T12:28:00Z</dcterms:modified>
</cp:coreProperties>
</file>