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EAB" w:rsidRDefault="0013039D">
      <w:pPr>
        <w:pStyle w:val="esknorma"/>
      </w:pPr>
      <w:r>
        <w:rPr>
          <w:noProof/>
        </w:rPr>
        <mc:AlternateContent>
          <mc:Choice Requires="wps">
            <w:drawing>
              <wp:anchor distT="0" distB="0" distL="114300" distR="114300" simplePos="0" relativeHeight="251657728" behindDoc="0" locked="1" layoutInCell="0" allowOverlap="1">
                <wp:simplePos x="0" y="0"/>
                <wp:positionH relativeFrom="page">
                  <wp:posOffset>648335</wp:posOffset>
                </wp:positionH>
                <wp:positionV relativeFrom="page">
                  <wp:posOffset>9613265</wp:posOffset>
                </wp:positionV>
                <wp:extent cx="629983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635"/>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5A9B23"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756.95pt" to="547.1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" o:allowincell="f" strokeweight="1.5pt">
                <v:stroke startarrowwidth="narrow" startarrowlength="short" endarrowwidth="narrow" endarrowlength="short"/>
                <w10:wrap anchorx="page" anchory="page"/>
                <w10:anchorlock/>
              </v:line>
            </w:pict>
          </mc:Fallback>
        </mc:AlternateContent>
      </w:r>
      <w:r w:rsidR="00A83EAB">
        <w:t>ČESKÁ TECHNICKÁ NORMA</w:t>
      </w:r>
    </w:p>
    <w:p w:rsidR="00A83EAB" w:rsidRDefault="00A83EAB">
      <w:pPr>
        <w:pStyle w:val="1Str1Rad"/>
        <w:spacing w:after="60"/>
        <w:rPr>
          <w:b/>
        </w:rPr>
      </w:pPr>
      <w:r>
        <w:rPr>
          <w:sz w:val="16"/>
        </w:rPr>
        <w:t xml:space="preserve">ICS </w:t>
      </w:r>
      <w:r w:rsidR="007658D0" w:rsidRPr="004178ED">
        <w:rPr>
          <w:sz w:val="16"/>
        </w:rPr>
        <w:t>17.220.20; 33.070.01; 13.280</w:t>
      </w:r>
      <w:r>
        <w:tab/>
      </w:r>
      <w:r>
        <w:tab/>
      </w:r>
      <w:r>
        <w:rPr>
          <w:b/>
        </w:rPr>
        <w:t xml:space="preserve">Měsíc </w:t>
      </w:r>
      <w:r w:rsidR="007658D0">
        <w:rPr>
          <w:b/>
        </w:rPr>
        <w:t>Rok</w:t>
      </w:r>
    </w:p>
    <w:tbl>
      <w:tblPr>
        <w:tblW w:w="0" w:type="auto"/>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7371"/>
        <w:gridCol w:w="2552"/>
      </w:tblGrid>
      <w:tr w:rsidR="00A83EAB">
        <w:trPr>
          <w:cantSplit/>
          <w:trHeight w:val="1701"/>
        </w:trPr>
        <w:tc>
          <w:tcPr>
            <w:tcW w:w="7371" w:type="dxa"/>
          </w:tcPr>
          <w:p w:rsidR="00A83EAB" w:rsidRDefault="007658D0" w:rsidP="007658D0">
            <w:pPr>
              <w:pStyle w:val="1StrNN-X"/>
            </w:pPr>
            <w:r w:rsidRPr="004178ED">
              <w:t>Základní norma pro výpočet a</w:t>
            </w:r>
            <w:r>
              <w:t> </w:t>
            </w:r>
            <w:r w:rsidRPr="004178ED">
              <w:t>měření intenzity elektromagnetického pole a</w:t>
            </w:r>
            <w:r>
              <w:t> </w:t>
            </w:r>
            <w:r w:rsidRPr="004178ED">
              <w:t xml:space="preserve">SAR při vystavení člověka základnovým </w:t>
            </w:r>
            <w:r w:rsidRPr="004178ED">
              <w:rPr>
                <w:szCs w:val="28"/>
              </w:rPr>
              <w:t>stanicím</w:t>
            </w:r>
            <w:r w:rsidRPr="004178ED">
              <w:t xml:space="preserve"> a</w:t>
            </w:r>
            <w:r>
              <w:t> </w:t>
            </w:r>
            <w:r w:rsidRPr="004178ED">
              <w:t>pevným koncovým stanicím pro bezdrátové telekomunikační systémy (110 MHz až 40 GHz)</w:t>
            </w:r>
          </w:p>
        </w:tc>
        <w:tc>
          <w:tcPr>
            <w:tcW w:w="2552" w:type="dxa"/>
          </w:tcPr>
          <w:p w:rsidR="007658D0" w:rsidRPr="004178ED" w:rsidRDefault="007658D0" w:rsidP="007658D0">
            <w:pPr>
              <w:pStyle w:val="1StrCN"/>
            </w:pPr>
            <w:r w:rsidRPr="004178ED">
              <w:t>ČSN</w:t>
            </w:r>
            <w:r w:rsidRPr="004178ED">
              <w:br/>
              <w:t>EN 50383</w:t>
            </w:r>
            <w:r w:rsidRPr="004178ED">
              <w:br/>
            </w:r>
          </w:p>
          <w:p w:rsidR="00A83EAB" w:rsidRDefault="007658D0" w:rsidP="007658D0">
            <w:pPr>
              <w:pStyle w:val="1StrTrZn"/>
              <w:spacing w:before="340"/>
            </w:pPr>
            <w:r w:rsidRPr="004178ED">
              <w:t>36 7906</w:t>
            </w:r>
          </w:p>
        </w:tc>
      </w:tr>
    </w:tbl>
    <w:p w:rsidR="00A83EAB" w:rsidRDefault="00A83EAB">
      <w:pPr>
        <w:pStyle w:val="Shodnost"/>
      </w:pPr>
    </w:p>
    <w:p w:rsidR="007658D0" w:rsidRPr="004178ED" w:rsidRDefault="007658D0" w:rsidP="007658D0">
      <w:pPr>
        <w:pStyle w:val="Cizojazynnzev"/>
      </w:pPr>
      <w:r w:rsidRPr="004178ED">
        <w:t>Basic standard for the calculation and measurement of electromagnetic field strenght and SAR related to human exposure from radio base stations and fixed terminal stations for wireless telecommunication systems (110 MHz</w:t>
      </w:r>
      <w:r>
        <w:t xml:space="preserve"> – </w:t>
      </w:r>
      <w:r w:rsidRPr="004178ED">
        <w:t>40 GHz)</w:t>
      </w:r>
    </w:p>
    <w:p w:rsidR="007658D0" w:rsidRPr="004178ED" w:rsidRDefault="007658D0" w:rsidP="007658D0">
      <w:pPr>
        <w:pStyle w:val="Cizojazynnzev"/>
        <w:rPr>
          <w:lang w:val="fr-FR"/>
        </w:rPr>
      </w:pPr>
      <w:r w:rsidRPr="004178ED">
        <w:rPr>
          <w:lang w:val="fr-FR"/>
        </w:rPr>
        <w:t>Norme de base pour le calcul et la mesure des champs électromagnétiques et SAR associés à</w:t>
      </w:r>
      <w:r>
        <w:rPr>
          <w:lang w:val="fr-FR"/>
        </w:rPr>
        <w:t> </w:t>
      </w:r>
      <w:r w:rsidRPr="004178ED">
        <w:rPr>
          <w:lang w:val="fr-FR"/>
        </w:rPr>
        <w:t>l'exposition des personnes provenant des stations de base radio et des stations terminales fixes pour les systèmes de radiotélécommunications (110 MHz</w:t>
      </w:r>
      <w:r>
        <w:rPr>
          <w:lang w:val="fr-FR"/>
        </w:rPr>
        <w:t xml:space="preserve"> – </w:t>
      </w:r>
      <w:r w:rsidRPr="004178ED">
        <w:rPr>
          <w:lang w:val="fr-FR"/>
        </w:rPr>
        <w:t>40 GHz)</w:t>
      </w:r>
    </w:p>
    <w:p w:rsidR="007658D0" w:rsidRPr="004178ED" w:rsidRDefault="007658D0" w:rsidP="007658D0">
      <w:pPr>
        <w:pStyle w:val="Cizojazynnzev"/>
        <w:spacing w:after="840"/>
        <w:rPr>
          <w:lang w:val="de-DE"/>
        </w:rPr>
      </w:pPr>
      <w:r w:rsidRPr="004178ED">
        <w:rPr>
          <w:lang w:val="de-DE"/>
        </w:rPr>
        <w:t xml:space="preserve">Grundnorm für die Berechnung und Messung der elektromagnetischen Feldstärke und SAR </w:t>
      </w:r>
      <w:r>
        <w:rPr>
          <w:lang w:val="de-DE"/>
        </w:rPr>
        <w:t>in Bezug auf die Sicherheit von </w:t>
      </w:r>
      <w:r w:rsidRPr="004178ED">
        <w:rPr>
          <w:lang w:val="de-DE"/>
        </w:rPr>
        <w:t>Personen in elektromagnetischen Feldern von Mobilfunk-Basisstationen und st</w:t>
      </w:r>
      <w:r>
        <w:rPr>
          <w:lang w:val="de-DE"/>
        </w:rPr>
        <w:t>ationären Teilnehmergeräten von </w:t>
      </w:r>
      <w:r w:rsidRPr="004178ED">
        <w:rPr>
          <w:lang w:val="de-DE"/>
        </w:rPr>
        <w:t>schnurlosen Telekommunikationsanlagen (110 MHz bis 40 GHz)</w:t>
      </w:r>
    </w:p>
    <w:p w:rsidR="007658D0" w:rsidRPr="004178ED" w:rsidRDefault="007658D0" w:rsidP="007658D0">
      <w:pPr>
        <w:pStyle w:val="Textnormy"/>
      </w:pPr>
      <w:r w:rsidRPr="004178ED">
        <w:t>Tato norma je českou verzí evropské normy EN 50383:20</w:t>
      </w:r>
      <w:r>
        <w:t>10</w:t>
      </w:r>
      <w:r w:rsidRPr="004178ED">
        <w:t xml:space="preserve">. Překlad byl zajištěn </w:t>
      </w:r>
      <w:r w:rsidRPr="00F26445">
        <w:rPr>
          <w:rFonts w:cs="Arial"/>
        </w:rPr>
        <w:t>Českou agenturou pro standardizaci</w:t>
      </w:r>
      <w:r w:rsidRPr="004178ED">
        <w:t>. Má stejný status jako oficiální verze.</w:t>
      </w:r>
    </w:p>
    <w:p w:rsidR="007658D0" w:rsidRPr="004178ED" w:rsidRDefault="007658D0" w:rsidP="007658D0">
      <w:pPr>
        <w:pStyle w:val="Textnormy"/>
        <w:rPr>
          <w:lang w:val="en-GB"/>
        </w:rPr>
      </w:pPr>
      <w:r w:rsidRPr="004178ED">
        <w:rPr>
          <w:lang w:val="en-GB"/>
        </w:rPr>
        <w:t>This standard is the Czech version of the European Standard EN 50383:20</w:t>
      </w:r>
      <w:r>
        <w:rPr>
          <w:lang w:val="en-GB"/>
        </w:rPr>
        <w:t>10</w:t>
      </w:r>
      <w:r w:rsidRPr="004178ED">
        <w:rPr>
          <w:lang w:val="en-GB"/>
        </w:rPr>
        <w:t xml:space="preserve">. </w:t>
      </w:r>
      <w:r w:rsidRPr="004178ED">
        <w:t>It was translated by</w:t>
      </w:r>
      <w:r>
        <w:t xml:space="preserve"> the</w:t>
      </w:r>
      <w:r w:rsidRPr="004178ED">
        <w:t xml:space="preserve"> </w:t>
      </w:r>
      <w:r>
        <w:rPr>
          <w:rFonts w:ascii="Helv" w:hAnsi="Helv" w:cs="Helv"/>
          <w:color w:val="000000"/>
        </w:rPr>
        <w:t>Czech Standardization Agency</w:t>
      </w:r>
      <w:r w:rsidRPr="004178ED">
        <w:t>.</w:t>
      </w:r>
      <w:r w:rsidRPr="004178ED">
        <w:rPr>
          <w:lang w:val="en-GB"/>
        </w:rPr>
        <w:t xml:space="preserve"> It has the same status as the official ve</w:t>
      </w:r>
      <w:r w:rsidRPr="004178ED">
        <w:rPr>
          <w:lang w:val="en-GB"/>
        </w:rPr>
        <w:t>r</w:t>
      </w:r>
      <w:r w:rsidRPr="004178ED">
        <w:rPr>
          <w:lang w:val="en-GB"/>
        </w:rPr>
        <w:t>sion.</w:t>
      </w:r>
    </w:p>
    <w:p w:rsidR="007658D0" w:rsidRPr="004178ED" w:rsidRDefault="007658D0" w:rsidP="007658D0">
      <w:pPr>
        <w:pStyle w:val="Nadpislnku"/>
      </w:pPr>
      <w:r w:rsidRPr="004178ED">
        <w:t>Nahrazení předchozích norem</w:t>
      </w:r>
    </w:p>
    <w:p w:rsidR="007658D0" w:rsidRPr="004178ED" w:rsidRDefault="007658D0" w:rsidP="007658D0">
      <w:pPr>
        <w:pStyle w:val="Textnormy"/>
      </w:pPr>
      <w:r w:rsidRPr="004178ED">
        <w:t>T</w:t>
      </w:r>
      <w:r>
        <w:t>ou</w:t>
      </w:r>
      <w:r w:rsidRPr="004178ED">
        <w:t>to norm</w:t>
      </w:r>
      <w:r>
        <w:t>ou se</w:t>
      </w:r>
      <w:r w:rsidRPr="004178ED">
        <w:t xml:space="preserve"> nahrazuj</w:t>
      </w:r>
      <w:r>
        <w:t>í</w:t>
      </w:r>
      <w:r w:rsidRPr="004178ED">
        <w:t xml:space="preserve"> ČSN 36 7906 z</w:t>
      </w:r>
      <w:r>
        <w:t> </w:t>
      </w:r>
      <w:r w:rsidRPr="004178ED">
        <w:t>1989-03-15 a</w:t>
      </w:r>
      <w:r>
        <w:t> </w:t>
      </w:r>
      <w:r w:rsidRPr="004178ED">
        <w:t>ČSN 36 7907 z</w:t>
      </w:r>
      <w:r>
        <w:t> </w:t>
      </w:r>
      <w:r w:rsidRPr="004178ED">
        <w:t>března 1993.</w:t>
      </w:r>
    </w:p>
    <w:p w:rsidR="00A83EAB" w:rsidRDefault="00A83EAB">
      <w:pPr>
        <w:pStyle w:val="Textnormy"/>
        <w:tabs>
          <w:tab w:val="right" w:pos="9923"/>
        </w:tabs>
      </w:pPr>
    </w:p>
    <w:p w:rsidR="00A83EAB" w:rsidRDefault="00A83EAB">
      <w:pPr>
        <w:pStyle w:val="Textnormy"/>
        <w:tabs>
          <w:tab w:val="right" w:pos="9923"/>
        </w:tabs>
        <w:sectPr w:rsidR="00A83EAB">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021" w:header="708" w:footer="851" w:gutter="0"/>
          <w:pgNumType w:start="1"/>
          <w:cols w:space="708"/>
          <w:titlePg/>
        </w:sectPr>
      </w:pPr>
    </w:p>
    <w:p w:rsidR="007658D0" w:rsidRPr="007658D0" w:rsidRDefault="007658D0" w:rsidP="007658D0">
      <w:pPr>
        <w:pStyle w:val="Nadpiskapitoly"/>
        <w:spacing w:before="0"/>
      </w:pPr>
      <w:r w:rsidRPr="007658D0">
        <w:lastRenderedPageBreak/>
        <w:t>Národní předmluva</w:t>
      </w:r>
    </w:p>
    <w:p w:rsidR="007658D0" w:rsidRPr="007658D0" w:rsidRDefault="007658D0" w:rsidP="007658D0">
      <w:pPr>
        <w:pStyle w:val="Nadpislnku"/>
      </w:pPr>
      <w:r w:rsidRPr="007658D0">
        <w:t>Změny proti předchozím normám</w:t>
      </w:r>
    </w:p>
    <w:p w:rsidR="007658D0" w:rsidRPr="007658D0" w:rsidRDefault="007658D0" w:rsidP="007658D0">
      <w:pPr>
        <w:pStyle w:val="Textnormy"/>
      </w:pPr>
      <w:r w:rsidRPr="007658D0">
        <w:t xml:space="preserve">Tato norma je celkovou technickou revizí předchozích norem, která spočívá zejména ve stanovení nových </w:t>
      </w:r>
      <w:r w:rsidRPr="007658D0">
        <w:br/>
        <w:t>p</w:t>
      </w:r>
      <w:r w:rsidRPr="007658D0">
        <w:t>a</w:t>
      </w:r>
      <w:r w:rsidRPr="007658D0">
        <w:t>rametrů měření intenzity elektromagnetického pole.</w:t>
      </w:r>
    </w:p>
    <w:p w:rsidR="007658D0" w:rsidRPr="007658D0" w:rsidRDefault="007658D0" w:rsidP="007658D0">
      <w:pPr>
        <w:pStyle w:val="Nadpislnku"/>
      </w:pPr>
      <w:r w:rsidRPr="007658D0">
        <w:t>Informace o citovaných dokumentech</w:t>
      </w:r>
    </w:p>
    <w:p w:rsidR="007658D0" w:rsidRPr="007658D0" w:rsidRDefault="007658D0" w:rsidP="007658D0">
      <w:pPr>
        <w:pStyle w:val="Textnormy"/>
      </w:pPr>
      <w:r w:rsidRPr="007658D0">
        <w:t>EN 50361:2001</w:t>
      </w:r>
      <w:r w:rsidRPr="007658D0">
        <w:rPr>
          <w:rFonts w:ascii="Arial Unicode MS" w:eastAsia="Arial Unicode MS" w:hAnsi="Arial Unicode MS" w:cs="Arial Unicode MS" w:hint="eastAsia"/>
        </w:rPr>
        <w:t> </w:t>
      </w:r>
      <w:r w:rsidRPr="007658D0">
        <w:t xml:space="preserve">zavedena v ČSN EN 50361:2002 (36 7902) Základní norma pro měření specifické míry </w:t>
      </w:r>
      <w:r w:rsidRPr="007658D0">
        <w:br/>
        <w:t>a</w:t>
      </w:r>
      <w:r w:rsidRPr="007658D0">
        <w:t>b</w:t>
      </w:r>
      <w:r w:rsidRPr="007658D0">
        <w:t>sorpce (SAR) z hlediska expozice člověka elektromagnetickými poli z mobilních telefonů (300 MHz až 3 GHz)</w:t>
      </w:r>
    </w:p>
    <w:p w:rsidR="007658D0" w:rsidRPr="007658D0" w:rsidRDefault="007658D0" w:rsidP="007658D0">
      <w:pPr>
        <w:pStyle w:val="Textnormy"/>
      </w:pPr>
      <w:r w:rsidRPr="007658D0">
        <w:t>ISO/IEC 17025:1999</w:t>
      </w:r>
      <w:r w:rsidRPr="007658D0">
        <w:rPr>
          <w:rFonts w:ascii="Arial Unicode MS" w:eastAsia="Arial Unicode MS" w:hAnsi="Arial Unicode MS" w:cs="Arial Unicode MS" w:hint="eastAsia"/>
        </w:rPr>
        <w:t> </w:t>
      </w:r>
      <w:r w:rsidRPr="007658D0">
        <w:t>zavedena v ČSN EN ISO/IEC 17025:2001 (01 5253) Obecné požadavky na způsob</w:t>
      </w:r>
      <w:r w:rsidRPr="007658D0">
        <w:t>i</w:t>
      </w:r>
      <w:r w:rsidRPr="007658D0">
        <w:t>lost zkušebních a kalibračních laboratoří</w:t>
      </w:r>
    </w:p>
    <w:p w:rsidR="007658D0" w:rsidRPr="007658D0" w:rsidRDefault="007658D0" w:rsidP="007658D0">
      <w:pPr>
        <w:pStyle w:val="Nadpislnku"/>
      </w:pPr>
      <w:r w:rsidRPr="007658D0">
        <w:t>Souvisící ČSN</w:t>
      </w:r>
    </w:p>
    <w:p w:rsidR="007658D0" w:rsidRPr="007658D0" w:rsidRDefault="007658D0" w:rsidP="007658D0">
      <w:pPr>
        <w:pStyle w:val="Textnormy"/>
      </w:pPr>
      <w:r w:rsidRPr="007658D0">
        <w:t>ČSN EN 50384 (36 7907)</w:t>
      </w:r>
      <w:r w:rsidRPr="007658D0">
        <w:rPr>
          <w:rFonts w:ascii="Arial Unicode MS" w:eastAsia="Arial Unicode MS" w:hAnsi="Arial Unicode MS" w:cs="Arial Unicode MS" w:hint="eastAsia"/>
        </w:rPr>
        <w:t> </w:t>
      </w:r>
      <w:r w:rsidRPr="007658D0">
        <w:t>Výrobková norma pro prokazování shody základnových stanic a pevných konc</w:t>
      </w:r>
      <w:r w:rsidRPr="007658D0">
        <w:t>o</w:t>
      </w:r>
      <w:r w:rsidRPr="007658D0">
        <w:t>vých stanic pro bezdrátové telekomunikační systémy se základními omezeními nebo referenčními úrovněmi při v</w:t>
      </w:r>
      <w:r w:rsidRPr="007658D0">
        <w:t>y</w:t>
      </w:r>
      <w:r w:rsidRPr="007658D0">
        <w:t>stavení člověka vysokofrekvenčním elektromagnetickým polím (110 MHz až 40 GHz) – Pracovníci</w:t>
      </w:r>
    </w:p>
    <w:p w:rsidR="007658D0" w:rsidRPr="007658D0" w:rsidRDefault="007658D0" w:rsidP="007658D0">
      <w:pPr>
        <w:pStyle w:val="Textnormy"/>
      </w:pPr>
      <w:r w:rsidRPr="007658D0">
        <w:t>ČSN EN 50385 (36 7908)</w:t>
      </w:r>
      <w:r w:rsidRPr="007658D0">
        <w:rPr>
          <w:rFonts w:ascii="Arial Unicode MS" w:eastAsia="Arial Unicode MS" w:hAnsi="Arial Unicode MS" w:cs="Arial Unicode MS" w:hint="eastAsia"/>
        </w:rPr>
        <w:t> </w:t>
      </w:r>
      <w:r w:rsidRPr="007658D0">
        <w:t>Výrobková norma pro prokazování shody základnových stanic a pevných konc</w:t>
      </w:r>
      <w:r w:rsidRPr="007658D0">
        <w:t>o</w:t>
      </w:r>
      <w:r w:rsidRPr="007658D0">
        <w:t>vých stanic pro bezdrátové telekomunikační systémy se základními omezeními nebo referenčními úrovněmi při v</w:t>
      </w:r>
      <w:r w:rsidRPr="007658D0">
        <w:t>y</w:t>
      </w:r>
      <w:r w:rsidRPr="007658D0">
        <w:t>stavení člověka vysokofrekvenčním elektromagnetickým polím (110 MHz až 40 GHz) – Obyvatelstvo</w:t>
      </w:r>
    </w:p>
    <w:p w:rsidR="007658D0" w:rsidRPr="007658D0" w:rsidRDefault="007658D0" w:rsidP="007658D0">
      <w:pPr>
        <w:pStyle w:val="Nadpislnku"/>
      </w:pPr>
      <w:r w:rsidRPr="007658D0">
        <w:t>Vysvětlivky k textu této normy</w:t>
      </w:r>
    </w:p>
    <w:p w:rsidR="007658D0" w:rsidRPr="007658D0" w:rsidRDefault="007658D0" w:rsidP="007658D0">
      <w:pPr>
        <w:pStyle w:val="Textnormy"/>
      </w:pPr>
      <w:r w:rsidRPr="007658D0">
        <w:rPr>
          <w:rFonts w:cs="Arial"/>
        </w:rPr>
        <w:t>V případě nedatovaných odkazů na evropské/mezinárodní normy jsou ČSN uvedené v článku „Souvisící ČSN“ nejnovějšími vydáními, platnými v době schválení této normy. Při používání této normy je třeba vždy použít taková vydání ČSN, která přejímají nejnovější vyd</w:t>
      </w:r>
      <w:r w:rsidRPr="007658D0">
        <w:rPr>
          <w:rFonts w:cs="Arial"/>
        </w:rPr>
        <w:t>á</w:t>
      </w:r>
      <w:r w:rsidRPr="007658D0">
        <w:rPr>
          <w:rFonts w:cs="Arial"/>
        </w:rPr>
        <w:t>ní nedatovaných evropských/mezinárodních norem (včetně všech změn).</w:t>
      </w:r>
    </w:p>
    <w:p w:rsidR="007658D0" w:rsidRPr="007658D0" w:rsidRDefault="007658D0" w:rsidP="007658D0">
      <w:pPr>
        <w:pStyle w:val="Nadpislnku"/>
      </w:pPr>
      <w:r w:rsidRPr="007658D0">
        <w:t>Citované předpisy</w:t>
      </w:r>
    </w:p>
    <w:p w:rsidR="007658D0" w:rsidRPr="007658D0" w:rsidRDefault="007658D0" w:rsidP="007658D0">
      <w:pPr>
        <w:pStyle w:val="Textnormy"/>
      </w:pPr>
      <w:r w:rsidRPr="007658D0">
        <w:t>Směrnice Evropského parlamentu a Rady 2004/40/ES (2004/40/EC) ze dne 29. dubna 2004 o minimálních p</w:t>
      </w:r>
      <w:r w:rsidRPr="007658D0">
        <w:t>o</w:t>
      </w:r>
      <w:r w:rsidRPr="007658D0">
        <w:t>žadavcích na bezpečnost a ochranu zdraví před exp</w:t>
      </w:r>
      <w:r w:rsidRPr="007658D0">
        <w:t>o</w:t>
      </w:r>
      <w:r w:rsidRPr="007658D0">
        <w:t>zicí zaměstnanců rizikům spojeným s fyzikálními činiteli (elektromagnetickými poli). V České repu</w:t>
      </w:r>
      <w:r w:rsidRPr="007658D0">
        <w:t>b</w:t>
      </w:r>
      <w:r w:rsidRPr="007658D0">
        <w:t>lice je tato směrnice zavedena nařízením vlády č. 1/2008 Sb., o ochraně zdraví před neionizujícím zářením v platném znění.</w:t>
      </w:r>
    </w:p>
    <w:p w:rsidR="007658D0" w:rsidRPr="007658D0" w:rsidRDefault="007658D0" w:rsidP="007658D0">
      <w:pPr>
        <w:pStyle w:val="Nadpislnku"/>
      </w:pPr>
      <w:r w:rsidRPr="007658D0">
        <w:t>Upozornění na národní poznámky</w:t>
      </w:r>
    </w:p>
    <w:p w:rsidR="007658D0" w:rsidRPr="007658D0" w:rsidRDefault="007658D0" w:rsidP="007658D0">
      <w:pPr>
        <w:pStyle w:val="Textnormy"/>
      </w:pPr>
      <w:r w:rsidRPr="007658D0">
        <w:t xml:space="preserve">V kapitolách 1, </w:t>
      </w:r>
      <w:smartTag w:uri="urn:schemas-microsoft-com:office:smarttags" w:element="metricconverter">
        <w:smartTagPr>
          <w:attr w:name="ProductID" w:val="6ﾠa"/>
        </w:smartTagPr>
        <w:r w:rsidRPr="007658D0">
          <w:t>6 a</w:t>
        </w:r>
      </w:smartTag>
      <w:r w:rsidRPr="007658D0">
        <w:t xml:space="preserve"> 7 jsou národní poznámky upřesňujícího charakteru.</w:t>
      </w:r>
    </w:p>
    <w:p w:rsidR="007658D0" w:rsidRPr="007658D0" w:rsidRDefault="007658D0" w:rsidP="007658D0">
      <w:pPr>
        <w:pStyle w:val="Nadpislnku"/>
      </w:pPr>
      <w:r w:rsidRPr="007658D0">
        <w:t>Upozornění na národní přílohu</w:t>
      </w:r>
    </w:p>
    <w:p w:rsidR="007658D0" w:rsidRPr="007658D0" w:rsidRDefault="007658D0" w:rsidP="007658D0">
      <w:pPr>
        <w:pStyle w:val="Textnormy"/>
      </w:pPr>
      <w:r w:rsidRPr="007658D0">
        <w:t>Do této normy byla pro informaci doplněna národní příloha NA, která rozšiřuje výčet veličin uvedených v článku 3.1 o další veličiny, se kterými je možno se setkat v souvisící odborné literatuře, avšak v samotném  textu normy se nevyskytují.</w:t>
      </w:r>
    </w:p>
    <w:p w:rsidR="007658D0" w:rsidRPr="007658D0" w:rsidRDefault="007658D0" w:rsidP="007658D0">
      <w:pPr>
        <w:pStyle w:val="Nadpislnku"/>
      </w:pPr>
      <w:r w:rsidRPr="007658D0">
        <w:t>Vypracování normy</w:t>
      </w:r>
    </w:p>
    <w:p w:rsidR="007658D0" w:rsidRPr="007658D0" w:rsidRDefault="007658D0" w:rsidP="007658D0">
      <w:pPr>
        <w:pStyle w:val="Textnormy"/>
      </w:pPr>
      <w:r w:rsidRPr="007658D0">
        <w:t>Zpracovatel: MUSIL Praha, IČO 62375873, Ing. Jan Musil, CSc., spolupráce: Státní zdravotní ústav, doc. Ing. Eduard Zdravíčko, Ph.D..</w:t>
      </w:r>
    </w:p>
    <w:p w:rsidR="007658D0" w:rsidRPr="007658D0" w:rsidRDefault="007658D0" w:rsidP="007658D0">
      <w:pPr>
        <w:pStyle w:val="Textnormy"/>
      </w:pPr>
      <w:r w:rsidRPr="007658D0">
        <w:t>Technická normalizační komise: TNK 47 Elektromagnetická kompatibilita</w:t>
      </w:r>
    </w:p>
    <w:p w:rsidR="007658D0" w:rsidRPr="007658D0" w:rsidRDefault="007658D0" w:rsidP="007658D0">
      <w:pPr>
        <w:pStyle w:val="Textnormy"/>
      </w:pPr>
      <w:r w:rsidRPr="007658D0">
        <w:t>Pracovník České agentury pro standardizaci: Ing. Antonín Plaček</w:t>
      </w:r>
    </w:p>
    <w:p w:rsidR="007658D0" w:rsidRPr="007658D0" w:rsidRDefault="007658D0" w:rsidP="007658D0">
      <w:pPr>
        <w:pStyle w:val="Textnormy"/>
      </w:pPr>
      <w:r w:rsidRPr="007658D0">
        <w:rPr>
          <w:rFonts w:cs="Arial"/>
          <w:color w:val="000000"/>
        </w:rPr>
        <w:t>Česká agentura pro standardizaci je státní příspěvková organizace zřízená Úřadem pro technickou normalizaci, metrologii a státní zkušebnictví na základě ustanovení § 5 odst. 2 zákona č. 22/1997 Sb., o technických požadavcích na výrobky a o změně a doplnění některých zákonů, ve znění pozdějších předpisů.</w:t>
      </w:r>
    </w:p>
    <w:p w:rsidR="007658D0" w:rsidRPr="004178ED" w:rsidRDefault="007658D0" w:rsidP="007658D0">
      <w:pPr>
        <w:pStyle w:val="EvropNorma"/>
        <w:rPr>
          <w:kern w:val="0"/>
        </w:rPr>
      </w:pPr>
      <w:r w:rsidRPr="004178ED">
        <w:rPr>
          <w:kern w:val="0"/>
        </w:rPr>
        <w:lastRenderedPageBreak/>
        <w:t>EVROPSKÁ NORMA</w:t>
      </w:r>
      <w:r w:rsidRPr="004178ED">
        <w:rPr>
          <w:kern w:val="0"/>
        </w:rPr>
        <w:tab/>
        <w:t>EN 50383</w:t>
      </w:r>
      <w:r w:rsidRPr="004178ED">
        <w:rPr>
          <w:kern w:val="0"/>
        </w:rPr>
        <w:br/>
        <w:t>EUROPEAN STANDARD</w:t>
      </w:r>
      <w:r w:rsidRPr="004178ED">
        <w:rPr>
          <w:b w:val="0"/>
          <w:kern w:val="0"/>
          <w:sz w:val="20"/>
        </w:rPr>
        <w:br/>
      </w:r>
      <w:r w:rsidRPr="004178ED">
        <w:rPr>
          <w:kern w:val="0"/>
        </w:rPr>
        <w:t>NORME EUROPÉENNE</w:t>
      </w:r>
      <w:r w:rsidRPr="004178ED">
        <w:rPr>
          <w:kern w:val="0"/>
        </w:rPr>
        <w:br/>
        <w:t>EUROPÄISCHE NORM</w:t>
      </w:r>
      <w:r w:rsidRPr="004178ED">
        <w:rPr>
          <w:kern w:val="0"/>
        </w:rPr>
        <w:tab/>
      </w:r>
      <w:r w:rsidRPr="004178ED">
        <w:rPr>
          <w:b w:val="0"/>
          <w:kern w:val="0"/>
          <w:sz w:val="20"/>
        </w:rPr>
        <w:t>Srpen 20</w:t>
      </w:r>
      <w:r>
        <w:rPr>
          <w:b w:val="0"/>
          <w:kern w:val="0"/>
          <w:sz w:val="20"/>
        </w:rPr>
        <w:t>10</w:t>
      </w:r>
    </w:p>
    <w:p w:rsidR="007658D0" w:rsidRPr="004178ED" w:rsidRDefault="007658D0" w:rsidP="007658D0">
      <w:pPr>
        <w:pStyle w:val="ICS"/>
      </w:pPr>
      <w:r w:rsidRPr="004178ED">
        <w:t>ICS 17.220.20; 33.070.01</w:t>
      </w:r>
      <w:r w:rsidRPr="004178ED">
        <w:tab/>
      </w:r>
    </w:p>
    <w:p w:rsidR="007658D0" w:rsidRPr="007658D0" w:rsidRDefault="007658D0" w:rsidP="007658D0">
      <w:pPr>
        <w:pStyle w:val="NzNorCZ"/>
      </w:pPr>
      <w:r w:rsidRPr="007658D0">
        <w:t>Základní norma pro výpočet a měření intenzity elektromagnetického pole a SAR při vystavení člověka základnovým stanicím a pevným koncovým stanicím pro bezdrátové telekomunikační systémy (110 MHz až 40 GHz)</w:t>
      </w:r>
    </w:p>
    <w:p w:rsidR="007658D0" w:rsidRPr="007658D0" w:rsidRDefault="007658D0" w:rsidP="007658D0">
      <w:pPr>
        <w:pStyle w:val="NzNorUS"/>
      </w:pPr>
      <w:r w:rsidRPr="007658D0">
        <w:t>Basic standard for the calculation and measurement of electromagnetic field strenght and SAR related to human exposure from radio base stations and fixed terminal stations for wireless telecommunication systems (110 MHz – 40 GHz)</w:t>
      </w:r>
    </w:p>
    <w:tbl>
      <w:tblPr>
        <w:tblW w:w="9923" w:type="dxa"/>
        <w:jc w:val="center"/>
        <w:tblLayout w:type="fixed"/>
        <w:tblCellMar>
          <w:left w:w="0" w:type="dxa"/>
          <w:right w:w="0" w:type="dxa"/>
        </w:tblCellMar>
        <w:tblLook w:val="0000" w:firstRow="0" w:lastRow="0" w:firstColumn="0" w:lastColumn="0" w:noHBand="0" w:noVBand="0"/>
      </w:tblPr>
      <w:tblGrid>
        <w:gridCol w:w="4961"/>
        <w:gridCol w:w="4962"/>
      </w:tblGrid>
      <w:tr w:rsidR="007658D0" w:rsidRPr="007658D0" w:rsidTr="002F2965">
        <w:tblPrEx>
          <w:tblCellMar>
            <w:top w:w="0" w:type="dxa"/>
            <w:bottom w:w="0" w:type="dxa"/>
          </w:tblCellMar>
        </w:tblPrEx>
        <w:trPr>
          <w:jc w:val="center"/>
        </w:trPr>
        <w:tc>
          <w:tcPr>
            <w:tcW w:w="4961" w:type="dxa"/>
          </w:tcPr>
          <w:p w:rsidR="007658D0" w:rsidRPr="007658D0" w:rsidRDefault="007658D0" w:rsidP="002F2965">
            <w:pPr>
              <w:pStyle w:val="NzNorFraGer"/>
            </w:pPr>
            <w:r w:rsidRPr="007658D0">
              <w:t>Norme de base pour le calcul et la mesure</w:t>
            </w:r>
            <w:r w:rsidRPr="007658D0">
              <w:br/>
              <w:t>des champs électromagnétiques et SAR associés à l'exposition des personnes provenant des stations</w:t>
            </w:r>
            <w:r w:rsidRPr="007658D0">
              <w:br/>
              <w:t>de base radio et des stations terminales fixes pour</w:t>
            </w:r>
            <w:r w:rsidRPr="007658D0">
              <w:br/>
              <w:t>les systèmes de radiotélécommunications</w:t>
            </w:r>
            <w:r w:rsidRPr="007658D0">
              <w:br/>
              <w:t>(110 MHz – 40 GHz)</w:t>
            </w:r>
          </w:p>
        </w:tc>
        <w:tc>
          <w:tcPr>
            <w:tcW w:w="4961" w:type="dxa"/>
          </w:tcPr>
          <w:p w:rsidR="007658D0" w:rsidRPr="007658D0" w:rsidRDefault="007658D0" w:rsidP="002F2965">
            <w:pPr>
              <w:pStyle w:val="NzNorFraGer"/>
            </w:pPr>
            <w:r w:rsidRPr="007658D0">
              <w:t>Grundnorm für die Berechnung und Messung der elektromagnetischen Feldstärke und SAR in Bezug auf die Sicherheit von Personen in elektromagnetischen Feldern von Mobilfunk-Basisstationen und stationären Teilnehmergeräten von schnurlosen Telekommunikationsanlagen (110 MHz bis 40 GHz)</w:t>
            </w:r>
          </w:p>
        </w:tc>
      </w:tr>
    </w:tbl>
    <w:p w:rsidR="007658D0" w:rsidRPr="007658D0" w:rsidRDefault="007658D0" w:rsidP="007658D0">
      <w:pPr>
        <w:pStyle w:val="Textnormy"/>
      </w:pPr>
      <w:r w:rsidRPr="007658D0">
        <w:t>Tato evropská norma byla schválena CENELEC dne 2010-07-02. Členové CENELEC jsou povinni splnit vnitřní předpisy CEN/CENELEC, v nichž jsou stanoveny podmínky, za kterých se této evropské normě bez jakýc</w:t>
      </w:r>
      <w:r w:rsidRPr="007658D0">
        <w:t>h</w:t>
      </w:r>
      <w:r w:rsidRPr="007658D0">
        <w:t>koliv modifikací uděluje status národní normy.</w:t>
      </w:r>
    </w:p>
    <w:p w:rsidR="007658D0" w:rsidRPr="007658D0" w:rsidRDefault="007658D0" w:rsidP="007658D0">
      <w:pPr>
        <w:pStyle w:val="Textnormy"/>
      </w:pPr>
      <w:r w:rsidRPr="007658D0">
        <w:t xml:space="preserve">Aktualizované seznamy a bibliografické citace týkající se těchto národních norem lze obdržet na vyžádání </w:t>
      </w:r>
      <w:r>
        <w:br/>
      </w:r>
      <w:r w:rsidRPr="007658D0">
        <w:t>v Řídicím centru CEN-CENELEC nebo u kteréhokoliv člena CENELEC.</w:t>
      </w:r>
    </w:p>
    <w:p w:rsidR="007658D0" w:rsidRPr="007658D0" w:rsidRDefault="007658D0" w:rsidP="007658D0">
      <w:pPr>
        <w:pStyle w:val="Textnormy"/>
      </w:pPr>
      <w:r w:rsidRPr="007658D0">
        <w:t>Tato evropská norma existuje ve třech oficiálních verzích (anglické, francouzské, německé). Verze v každém jiném jazyce přeložená členem CENELEC do jeho vlastního jazyka, za kterou zodpovídá a kterou notifikuje Řídicímu centru CEN-CENELEC, má stejný status jako oficiální verze.</w:t>
      </w:r>
    </w:p>
    <w:p w:rsidR="007658D0" w:rsidRPr="007658D0" w:rsidRDefault="007658D0" w:rsidP="007658D0">
      <w:pPr>
        <w:pStyle w:val="Textnormy"/>
      </w:pPr>
      <w:r w:rsidRPr="007658D0">
        <w:rPr>
          <w:spacing w:val="-3"/>
        </w:rPr>
        <w:t>Členy CENELEC jsou národní elektrotechnické komitéty Belgie, Bulharska, Bývalé jugoslávské republiky Maked</w:t>
      </w:r>
      <w:r w:rsidRPr="007658D0">
        <w:rPr>
          <w:spacing w:val="-3"/>
        </w:rPr>
        <w:t>o</w:t>
      </w:r>
      <w:r w:rsidRPr="007658D0">
        <w:rPr>
          <w:spacing w:val="-3"/>
        </w:rPr>
        <w:t>nie,</w:t>
      </w:r>
      <w:r w:rsidRPr="007658D0">
        <w:t xml:space="preserve"> České republiky, Dánska, Estonska, Finska, Francie, Chorvatska, Irska, Islandu, Itálie, Kypru, Litvy, Lotyšska, Lucemburska, Maďarska, Malty, Německa, Nizozemska, Norska, Polska, Portugalska, Rakouska, Rumu</w:t>
      </w:r>
      <w:r w:rsidRPr="007658D0">
        <w:t>n</w:t>
      </w:r>
      <w:r w:rsidRPr="007658D0">
        <w:t>ska, Řecka, Slovenska, Slovinska, Spojeného království, Srbska, Šp</w:t>
      </w:r>
      <w:r w:rsidRPr="007658D0">
        <w:t>a</w:t>
      </w:r>
      <w:r w:rsidRPr="007658D0">
        <w:t>nělska, Švédska, Švýcarska a Turecka.</w:t>
      </w:r>
    </w:p>
    <w:p w:rsidR="007658D0" w:rsidRPr="007658D0" w:rsidRDefault="007658D0" w:rsidP="007658D0">
      <w:pPr>
        <w:pStyle w:val="Textnormy"/>
        <w:framePr w:hSpace="142" w:wrap="around" w:hAnchor="page" w:x="1022" w:yAlign="bottom"/>
        <w:spacing w:before="60" w:after="0"/>
        <w:jc w:val="center"/>
        <w:rPr>
          <w:sz w:val="24"/>
        </w:rPr>
      </w:pPr>
      <w:r w:rsidRPr="007658D0">
        <w:rPr>
          <w:b/>
          <w:noProof/>
          <w:sz w:val="24"/>
        </w:rPr>
        <w:drawing>
          <wp:inline distT="0" distB="0" distL="0" distR="0">
            <wp:extent cx="1226820" cy="586740"/>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2763" r="2763" b="5762"/>
                    <a:stretch>
                      <a:fillRect/>
                    </a:stretch>
                  </pic:blipFill>
                  <pic:spPr bwMode="auto">
                    <a:xfrm>
                      <a:off x="0" y="0"/>
                      <a:ext cx="1226820" cy="586740"/>
                    </a:xfrm>
                    <a:prstGeom prst="rect">
                      <a:avLst/>
                    </a:prstGeom>
                    <a:noFill/>
                    <a:ln>
                      <a:noFill/>
                    </a:ln>
                  </pic:spPr>
                </pic:pic>
              </a:graphicData>
            </a:graphic>
          </wp:inline>
        </w:drawing>
      </w:r>
      <w:r w:rsidRPr="007658D0">
        <w:rPr>
          <w:sz w:val="24"/>
        </w:rPr>
        <w:t xml:space="preserve"> </w:t>
      </w:r>
    </w:p>
    <w:p w:rsidR="007658D0" w:rsidRPr="007658D0" w:rsidRDefault="007658D0" w:rsidP="007658D0">
      <w:pPr>
        <w:pStyle w:val="Textnormy"/>
        <w:framePr w:hSpace="142" w:wrap="around" w:hAnchor="page" w:x="1022" w:yAlign="bottom"/>
        <w:spacing w:before="60" w:after="0"/>
        <w:jc w:val="center"/>
        <w:rPr>
          <w:b/>
        </w:rPr>
      </w:pPr>
      <w:r w:rsidRPr="007658D0">
        <w:rPr>
          <w:b/>
        </w:rPr>
        <w:t>Evropský výbor pro normalizaci v elektrotechnice</w:t>
      </w:r>
    </w:p>
    <w:p w:rsidR="007658D0" w:rsidRPr="007658D0" w:rsidRDefault="007658D0" w:rsidP="007658D0">
      <w:pPr>
        <w:pStyle w:val="Textnormy"/>
        <w:framePr w:hSpace="142" w:wrap="around" w:hAnchor="page" w:x="1022" w:yAlign="bottom"/>
        <w:spacing w:before="60" w:after="0"/>
        <w:jc w:val="center"/>
        <w:rPr>
          <w:b/>
          <w:noProof/>
        </w:rPr>
      </w:pPr>
      <w:r w:rsidRPr="007658D0">
        <w:rPr>
          <w:b/>
          <w:noProof/>
        </w:rPr>
        <w:t>European Committee for Electrotechnical Standardization</w:t>
      </w:r>
    </w:p>
    <w:p w:rsidR="007658D0" w:rsidRPr="007658D0" w:rsidRDefault="007658D0" w:rsidP="007658D0">
      <w:pPr>
        <w:pStyle w:val="Textnormy"/>
        <w:framePr w:hSpace="142" w:wrap="around" w:hAnchor="page" w:x="1022" w:yAlign="bottom"/>
        <w:spacing w:before="60" w:after="0"/>
        <w:jc w:val="center"/>
        <w:rPr>
          <w:b/>
          <w:noProof/>
        </w:rPr>
      </w:pPr>
      <w:r w:rsidRPr="007658D0">
        <w:rPr>
          <w:b/>
          <w:noProof/>
        </w:rPr>
        <w:t>Comité Européen de Normalisation Electrotechnique</w:t>
      </w:r>
    </w:p>
    <w:p w:rsidR="007658D0" w:rsidRPr="007658D0" w:rsidRDefault="007658D0" w:rsidP="007658D0">
      <w:pPr>
        <w:pStyle w:val="Textnormy"/>
        <w:framePr w:hSpace="142" w:wrap="around" w:hAnchor="page" w:x="1022" w:yAlign="bottom"/>
        <w:spacing w:before="60" w:after="0"/>
        <w:jc w:val="center"/>
        <w:rPr>
          <w:b/>
          <w:noProof/>
        </w:rPr>
      </w:pPr>
      <w:r w:rsidRPr="007658D0">
        <w:rPr>
          <w:b/>
          <w:noProof/>
        </w:rPr>
        <w:t>Europäisches Komitee für Elektrotechnische Normung</w:t>
      </w:r>
    </w:p>
    <w:p w:rsidR="007658D0" w:rsidRPr="007658D0" w:rsidRDefault="007658D0" w:rsidP="007658D0">
      <w:pPr>
        <w:pStyle w:val="Textnormy"/>
        <w:framePr w:hSpace="142" w:wrap="around" w:hAnchor="page" w:x="1022" w:yAlign="bottom"/>
        <w:spacing w:before="120" w:after="240"/>
        <w:jc w:val="center"/>
        <w:rPr>
          <w:b/>
        </w:rPr>
      </w:pPr>
      <w:r w:rsidRPr="007658D0">
        <w:rPr>
          <w:b/>
        </w:rPr>
        <w:t xml:space="preserve">Řídicí centrum CEN-CENELEC: </w:t>
      </w:r>
      <w:r w:rsidRPr="007658D0">
        <w:rPr>
          <w:rFonts w:cs="Arial"/>
          <w:b/>
          <w:color w:val="000000"/>
        </w:rPr>
        <w:t>Rue de la Science 23</w:t>
      </w:r>
      <w:r w:rsidRPr="007658D0">
        <w:rPr>
          <w:b/>
        </w:rPr>
        <w:t>, B-1040 Br</w:t>
      </w:r>
      <w:r w:rsidRPr="007658D0">
        <w:rPr>
          <w:b/>
        </w:rPr>
        <w:t>u</w:t>
      </w:r>
      <w:r w:rsidRPr="007658D0">
        <w:rPr>
          <w:b/>
        </w:rPr>
        <w:t>sel</w:t>
      </w:r>
    </w:p>
    <w:p w:rsidR="007658D0" w:rsidRPr="007658D0" w:rsidRDefault="007658D0" w:rsidP="007658D0">
      <w:pPr>
        <w:pStyle w:val="Poznmka"/>
        <w:framePr w:hSpace="142" w:wrap="around" w:hAnchor="page" w:x="1022" w:yAlign="bottom"/>
        <w:pBdr>
          <w:top w:val="single" w:sz="6" w:space="6" w:color="auto"/>
        </w:pBdr>
        <w:tabs>
          <w:tab w:val="right" w:pos="9923"/>
        </w:tabs>
        <w:spacing w:before="0" w:after="0"/>
        <w:ind w:left="1843" w:hanging="1843"/>
        <w:jc w:val="left"/>
      </w:pPr>
      <w:r w:rsidRPr="007658D0">
        <w:sym w:font="Times New Roman" w:char="00A9"/>
      </w:r>
      <w:r w:rsidRPr="007658D0">
        <w:t> 2002 CENELEC</w:t>
      </w:r>
      <w:r w:rsidRPr="007658D0">
        <w:tab/>
        <w:t>Veškerá práva pro využití v jakékoli</w:t>
      </w:r>
      <w:r>
        <w:t>v</w:t>
      </w:r>
      <w:r w:rsidRPr="007658D0">
        <w:t xml:space="preserve"> formě a jakýmikoli</w:t>
      </w:r>
      <w:r>
        <w:t>v</w:t>
      </w:r>
      <w:r w:rsidRPr="007658D0">
        <w:t xml:space="preserve"> prostředky </w:t>
      </w:r>
      <w:r w:rsidRPr="007658D0">
        <w:br/>
        <w:t>jsou celosvětově vyhrazena členům CENELEC.</w:t>
      </w:r>
      <w:r w:rsidRPr="007658D0">
        <w:br/>
      </w:r>
      <w:r w:rsidRPr="007658D0">
        <w:tab/>
        <w:t>Ref. č. EN 50383:2010 E</w:t>
      </w:r>
    </w:p>
    <w:p w:rsidR="007658D0" w:rsidRPr="007658D0" w:rsidRDefault="007658D0" w:rsidP="007658D0">
      <w:pPr>
        <w:pStyle w:val="Textnormy"/>
      </w:pPr>
    </w:p>
    <w:p w:rsidR="007658D0" w:rsidRPr="004178ED" w:rsidRDefault="007658D0" w:rsidP="007658D0">
      <w:pPr>
        <w:pStyle w:val="Nadpiskapitoly"/>
        <w:pageBreakBefore/>
        <w:spacing w:before="0"/>
      </w:pPr>
      <w:r w:rsidRPr="004178ED">
        <w:lastRenderedPageBreak/>
        <w:t>Obsah</w:t>
      </w:r>
    </w:p>
    <w:p w:rsidR="007658D0" w:rsidRPr="004178ED" w:rsidRDefault="007658D0" w:rsidP="007658D0">
      <w:pPr>
        <w:pStyle w:val="Textnormy"/>
        <w:jc w:val="right"/>
        <w:rPr>
          <w:sz w:val="18"/>
          <w:szCs w:val="18"/>
        </w:rPr>
      </w:pPr>
      <w:r w:rsidRPr="004178ED">
        <w:rPr>
          <w:sz w:val="18"/>
          <w:szCs w:val="18"/>
        </w:rPr>
        <w:t>Strana</w:t>
      </w:r>
    </w:p>
    <w:p w:rsidR="007658D0" w:rsidRPr="007658D0" w:rsidRDefault="007658D0" w:rsidP="007658D0">
      <w:pPr>
        <w:pStyle w:val="Obsah1"/>
        <w:rPr>
          <w:rFonts w:cs="Arial"/>
          <w:szCs w:val="18"/>
        </w:rPr>
      </w:pPr>
      <w:r w:rsidRPr="005460D6">
        <w:rPr>
          <w:rFonts w:cs="Arial"/>
          <w:szCs w:val="18"/>
        </w:rPr>
        <w:fldChar w:fldCharType="begin"/>
      </w:r>
      <w:r w:rsidRPr="005460D6">
        <w:rPr>
          <w:rFonts w:cs="Arial"/>
          <w:szCs w:val="18"/>
        </w:rPr>
        <w:instrText xml:space="preserve"> TOC \o "1-3" </w:instrText>
      </w:r>
      <w:r w:rsidRPr="005460D6">
        <w:rPr>
          <w:rFonts w:cs="Arial"/>
          <w:szCs w:val="18"/>
        </w:rPr>
        <w:fldChar w:fldCharType="separate"/>
      </w:r>
      <w:r w:rsidRPr="005460D6">
        <w:rPr>
          <w:rFonts w:cs="Arial"/>
          <w:szCs w:val="18"/>
        </w:rPr>
        <w:fldChar w:fldCharType="begin"/>
      </w:r>
      <w:r w:rsidRPr="005460D6">
        <w:rPr>
          <w:rFonts w:cs="Arial"/>
          <w:szCs w:val="18"/>
        </w:rPr>
        <w:instrText xml:space="preserve"> TOC \o "1-3" </w:instrText>
      </w:r>
      <w:r w:rsidRPr="005460D6">
        <w:rPr>
          <w:rFonts w:cs="Arial"/>
          <w:szCs w:val="18"/>
        </w:rPr>
        <w:fldChar w:fldCharType="separate"/>
      </w:r>
      <w:r>
        <w:t>Evropská předmluva</w:t>
      </w:r>
      <w:r>
        <w:tab/>
      </w:r>
      <w:r>
        <w:fldChar w:fldCharType="begin"/>
      </w:r>
      <w:r>
        <w:instrText xml:space="preserve"> PAGEREF _Toc509995572 \h </w:instrText>
      </w:r>
      <w:r>
        <w:fldChar w:fldCharType="separate"/>
      </w:r>
      <w:r>
        <w:t>5</w:t>
      </w:r>
      <w:r>
        <w:fldChar w:fldCharType="end"/>
      </w:r>
    </w:p>
    <w:p w:rsidR="007658D0" w:rsidRPr="005460D6" w:rsidRDefault="007658D0" w:rsidP="007658D0">
      <w:pPr>
        <w:pStyle w:val="Obsah1"/>
        <w:rPr>
          <w:rFonts w:cs="Arial"/>
          <w:szCs w:val="18"/>
        </w:rPr>
      </w:pPr>
      <w:r w:rsidRPr="005460D6">
        <w:rPr>
          <w:rFonts w:cs="Arial"/>
          <w:szCs w:val="18"/>
        </w:rPr>
        <w:fldChar w:fldCharType="end"/>
      </w:r>
      <w:r w:rsidRPr="007658D0">
        <w:rPr>
          <w:rFonts w:cs="Arial"/>
          <w:b/>
          <w:szCs w:val="18"/>
        </w:rPr>
        <w:t>1</w:t>
      </w:r>
      <w:r>
        <w:rPr>
          <w:rFonts w:cs="Arial"/>
          <w:szCs w:val="18"/>
        </w:rPr>
        <w:tab/>
      </w:r>
      <w:r w:rsidRPr="005460D6">
        <w:rPr>
          <w:rFonts w:cs="Arial"/>
          <w:szCs w:val="18"/>
        </w:rPr>
        <w:t>Rozsah platnosti</w:t>
      </w:r>
      <w:r w:rsidRPr="005460D6">
        <w:rPr>
          <w:rFonts w:cs="Arial"/>
          <w:szCs w:val="18"/>
        </w:rPr>
        <w:tab/>
      </w:r>
      <w:r w:rsidRPr="005460D6">
        <w:rPr>
          <w:rFonts w:cs="Arial"/>
          <w:szCs w:val="18"/>
        </w:rPr>
        <w:fldChar w:fldCharType="begin"/>
      </w:r>
      <w:r w:rsidRPr="005460D6">
        <w:rPr>
          <w:rFonts w:cs="Arial"/>
          <w:szCs w:val="18"/>
        </w:rPr>
        <w:instrText xml:space="preserve"> PAGEREF _Toc113952196 \h </w:instrText>
      </w:r>
      <w:r w:rsidRPr="005460D6">
        <w:rPr>
          <w:rFonts w:cs="Arial"/>
          <w:szCs w:val="18"/>
        </w:rPr>
      </w:r>
      <w:r w:rsidRPr="005460D6">
        <w:rPr>
          <w:rFonts w:cs="Arial"/>
          <w:szCs w:val="18"/>
        </w:rPr>
        <w:fldChar w:fldCharType="separate"/>
      </w:r>
      <w:r>
        <w:rPr>
          <w:rFonts w:cs="Arial"/>
          <w:szCs w:val="18"/>
        </w:rPr>
        <w:t>6</w:t>
      </w:r>
      <w:r w:rsidRPr="005460D6">
        <w:rPr>
          <w:rFonts w:cs="Arial"/>
          <w:szCs w:val="18"/>
        </w:rPr>
        <w:fldChar w:fldCharType="end"/>
      </w:r>
    </w:p>
    <w:p w:rsidR="007658D0" w:rsidRPr="005460D6" w:rsidRDefault="007658D0" w:rsidP="007658D0">
      <w:pPr>
        <w:pStyle w:val="Obsah1"/>
        <w:rPr>
          <w:rFonts w:cs="Arial"/>
          <w:szCs w:val="18"/>
        </w:rPr>
      </w:pPr>
      <w:r w:rsidRPr="005460D6">
        <w:rPr>
          <w:rFonts w:cs="Arial"/>
          <w:b/>
          <w:szCs w:val="18"/>
        </w:rPr>
        <w:t>2</w:t>
      </w:r>
      <w:r w:rsidRPr="005460D6">
        <w:rPr>
          <w:rFonts w:cs="Arial"/>
          <w:b/>
          <w:szCs w:val="18"/>
        </w:rPr>
        <w:tab/>
      </w:r>
      <w:r w:rsidRPr="005460D6">
        <w:rPr>
          <w:rFonts w:cs="Arial"/>
          <w:szCs w:val="18"/>
        </w:rPr>
        <w:t>Citované dokumenty</w:t>
      </w:r>
      <w:r w:rsidRPr="005460D6">
        <w:rPr>
          <w:rFonts w:cs="Arial"/>
          <w:szCs w:val="18"/>
        </w:rPr>
        <w:tab/>
      </w:r>
      <w:r w:rsidRPr="005460D6">
        <w:rPr>
          <w:rFonts w:cs="Arial"/>
          <w:szCs w:val="18"/>
        </w:rPr>
        <w:fldChar w:fldCharType="begin"/>
      </w:r>
      <w:r w:rsidRPr="005460D6">
        <w:rPr>
          <w:rFonts w:cs="Arial"/>
          <w:szCs w:val="18"/>
        </w:rPr>
        <w:instrText xml:space="preserve"> PAGEREF _Toc113952197 \h </w:instrText>
      </w:r>
      <w:r w:rsidRPr="005460D6">
        <w:rPr>
          <w:rFonts w:cs="Arial"/>
          <w:szCs w:val="18"/>
        </w:rPr>
      </w:r>
      <w:r w:rsidRPr="005460D6">
        <w:rPr>
          <w:rFonts w:cs="Arial"/>
          <w:szCs w:val="18"/>
        </w:rPr>
        <w:fldChar w:fldCharType="separate"/>
      </w:r>
      <w:r>
        <w:rPr>
          <w:rFonts w:cs="Arial"/>
          <w:szCs w:val="18"/>
        </w:rPr>
        <w:t>6</w:t>
      </w:r>
      <w:r w:rsidRPr="005460D6">
        <w:rPr>
          <w:rFonts w:cs="Arial"/>
          <w:szCs w:val="18"/>
        </w:rPr>
        <w:fldChar w:fldCharType="end"/>
      </w:r>
    </w:p>
    <w:p w:rsidR="007658D0" w:rsidRPr="005460D6" w:rsidRDefault="007658D0" w:rsidP="007658D0">
      <w:pPr>
        <w:pStyle w:val="Obsah1"/>
        <w:rPr>
          <w:rFonts w:cs="Arial"/>
          <w:szCs w:val="18"/>
        </w:rPr>
      </w:pPr>
      <w:r w:rsidRPr="005460D6">
        <w:rPr>
          <w:rFonts w:cs="Arial"/>
          <w:b/>
          <w:szCs w:val="18"/>
        </w:rPr>
        <w:t>3</w:t>
      </w:r>
      <w:r w:rsidRPr="005460D6">
        <w:rPr>
          <w:rFonts w:cs="Arial"/>
          <w:b/>
          <w:szCs w:val="18"/>
        </w:rPr>
        <w:tab/>
      </w:r>
      <w:r w:rsidRPr="005460D6">
        <w:rPr>
          <w:rFonts w:cs="Arial"/>
          <w:szCs w:val="18"/>
        </w:rPr>
        <w:t>Fyzikální veličiny, jednotky a konstanty</w:t>
      </w:r>
      <w:r w:rsidRPr="005460D6">
        <w:rPr>
          <w:rFonts w:cs="Arial"/>
          <w:szCs w:val="18"/>
        </w:rPr>
        <w:tab/>
      </w:r>
      <w:r w:rsidRPr="005460D6">
        <w:rPr>
          <w:rFonts w:cs="Arial"/>
          <w:szCs w:val="18"/>
        </w:rPr>
        <w:fldChar w:fldCharType="begin"/>
      </w:r>
      <w:r w:rsidRPr="005460D6">
        <w:rPr>
          <w:rFonts w:cs="Arial"/>
          <w:szCs w:val="18"/>
        </w:rPr>
        <w:instrText xml:space="preserve"> PAGEREF _Toc113952198 \h </w:instrText>
      </w:r>
      <w:r w:rsidRPr="005460D6">
        <w:rPr>
          <w:rFonts w:cs="Arial"/>
          <w:szCs w:val="18"/>
        </w:rPr>
      </w:r>
      <w:r w:rsidRPr="005460D6">
        <w:rPr>
          <w:rFonts w:cs="Arial"/>
          <w:szCs w:val="18"/>
        </w:rPr>
        <w:fldChar w:fldCharType="separate"/>
      </w:r>
      <w:r>
        <w:rPr>
          <w:rFonts w:cs="Arial"/>
          <w:szCs w:val="18"/>
        </w:rPr>
        <w:t>6</w:t>
      </w:r>
      <w:r w:rsidRPr="005460D6">
        <w:rPr>
          <w:rFonts w:cs="Arial"/>
          <w:szCs w:val="18"/>
        </w:rPr>
        <w:fldChar w:fldCharType="end"/>
      </w:r>
    </w:p>
    <w:p w:rsidR="007658D0" w:rsidRDefault="007658D0" w:rsidP="007658D0">
      <w:pPr>
        <w:pStyle w:val="Obsah2"/>
        <w:rPr>
          <w:rFonts w:cs="Arial"/>
          <w:szCs w:val="18"/>
        </w:rPr>
      </w:pPr>
      <w:r w:rsidRPr="005460D6">
        <w:rPr>
          <w:rFonts w:cs="Arial"/>
          <w:b/>
          <w:szCs w:val="18"/>
        </w:rPr>
        <w:t>3.1</w:t>
      </w:r>
      <w:r w:rsidRPr="005460D6">
        <w:rPr>
          <w:rFonts w:cs="Arial"/>
          <w:szCs w:val="18"/>
        </w:rPr>
        <w:tab/>
        <w:t>Veličiny</w:t>
      </w:r>
      <w:r w:rsidRPr="005460D6">
        <w:rPr>
          <w:rFonts w:cs="Arial"/>
          <w:szCs w:val="18"/>
        </w:rPr>
        <w:tab/>
      </w:r>
      <w:r w:rsidRPr="005460D6">
        <w:rPr>
          <w:rFonts w:cs="Arial"/>
          <w:szCs w:val="18"/>
        </w:rPr>
        <w:fldChar w:fldCharType="begin"/>
      </w:r>
      <w:r w:rsidRPr="005460D6">
        <w:rPr>
          <w:rFonts w:cs="Arial"/>
          <w:szCs w:val="18"/>
        </w:rPr>
        <w:instrText xml:space="preserve"> PAGEREF _Toc113952199 \h </w:instrText>
      </w:r>
      <w:r w:rsidRPr="005460D6">
        <w:rPr>
          <w:rFonts w:cs="Arial"/>
          <w:szCs w:val="18"/>
        </w:rPr>
      </w:r>
      <w:r w:rsidRPr="005460D6">
        <w:rPr>
          <w:rFonts w:cs="Arial"/>
          <w:szCs w:val="18"/>
        </w:rPr>
        <w:fldChar w:fldCharType="separate"/>
      </w:r>
      <w:r>
        <w:rPr>
          <w:rFonts w:cs="Arial"/>
          <w:szCs w:val="18"/>
        </w:rPr>
        <w:t>6</w:t>
      </w:r>
      <w:r w:rsidRPr="005460D6">
        <w:rPr>
          <w:rFonts w:cs="Arial"/>
          <w:szCs w:val="18"/>
        </w:rPr>
        <w:fldChar w:fldCharType="end"/>
      </w:r>
    </w:p>
    <w:p w:rsidR="007658D0" w:rsidRDefault="007658D0" w:rsidP="007658D0">
      <w:pPr>
        <w:pStyle w:val="Obsah1"/>
      </w:pPr>
      <w:r>
        <w:t>atd.</w:t>
      </w:r>
    </w:p>
    <w:p w:rsidR="007658D0" w:rsidRDefault="007658D0" w:rsidP="007658D0">
      <w:pPr>
        <w:pStyle w:val="Obsah1"/>
      </w:pPr>
      <w:r w:rsidRPr="006A1D80">
        <w:rPr>
          <w:b/>
        </w:rPr>
        <w:t xml:space="preserve">Příloha A </w:t>
      </w:r>
      <w:r>
        <w:t>(informativní) Název</w:t>
      </w:r>
      <w:r>
        <w:tab/>
        <w:t>17</w:t>
      </w:r>
    </w:p>
    <w:p w:rsidR="007658D0" w:rsidRDefault="007658D0" w:rsidP="007658D0">
      <w:pPr>
        <w:pStyle w:val="Obsah1"/>
      </w:pPr>
      <w:r w:rsidRPr="006A1D80">
        <w:rPr>
          <w:b/>
        </w:rPr>
        <w:t xml:space="preserve">Příloha B </w:t>
      </w:r>
      <w:r>
        <w:t>(informativní) Název</w:t>
      </w:r>
      <w:r>
        <w:tab/>
        <w:t>18</w:t>
      </w:r>
    </w:p>
    <w:p w:rsidR="007658D0" w:rsidRDefault="007658D0" w:rsidP="007658D0">
      <w:pPr>
        <w:pStyle w:val="Obsah1"/>
      </w:pPr>
      <w:r w:rsidRPr="006A1D80">
        <w:rPr>
          <w:b/>
        </w:rPr>
        <w:t>Příloha C</w:t>
      </w:r>
      <w:r>
        <w:t xml:space="preserve"> (normativní) Název</w:t>
      </w:r>
      <w:r>
        <w:tab/>
        <w:t>20</w:t>
      </w:r>
    </w:p>
    <w:p w:rsidR="007658D0" w:rsidRDefault="007658D0" w:rsidP="007658D0">
      <w:pPr>
        <w:pStyle w:val="Obsah1"/>
      </w:pPr>
      <w:r w:rsidRPr="006A1D80">
        <w:rPr>
          <w:b/>
        </w:rPr>
        <w:t>Příloha D</w:t>
      </w:r>
      <w:r>
        <w:t xml:space="preserve"> (informativní) Název</w:t>
      </w:r>
      <w:r>
        <w:tab/>
        <w:t>22</w:t>
      </w:r>
    </w:p>
    <w:p w:rsidR="007658D0" w:rsidRDefault="007658D0" w:rsidP="007658D0">
      <w:pPr>
        <w:pStyle w:val="Obsah1"/>
      </w:pPr>
      <w:r w:rsidRPr="006A1D80">
        <w:rPr>
          <w:b/>
        </w:rPr>
        <w:t xml:space="preserve">Příloha E </w:t>
      </w:r>
      <w:r>
        <w:t>(informativní) Název</w:t>
      </w:r>
      <w:r>
        <w:tab/>
        <w:t>23</w:t>
      </w:r>
    </w:p>
    <w:p w:rsidR="007658D0" w:rsidRDefault="007658D0" w:rsidP="007658D0">
      <w:pPr>
        <w:pStyle w:val="Obsah1"/>
      </w:pPr>
      <w:r w:rsidRPr="006A1D80">
        <w:rPr>
          <w:b/>
        </w:rPr>
        <w:t>Příloha F</w:t>
      </w:r>
      <w:r>
        <w:t xml:space="preserve"> (informativní) Název</w:t>
      </w:r>
      <w:r>
        <w:tab/>
        <w:t>27</w:t>
      </w:r>
    </w:p>
    <w:p w:rsidR="007658D0" w:rsidRDefault="007658D0" w:rsidP="007658D0">
      <w:pPr>
        <w:pStyle w:val="Obsah1"/>
      </w:pPr>
      <w:r>
        <w:t>Bibliografie</w:t>
      </w:r>
      <w:r>
        <w:tab/>
        <w:t>31</w:t>
      </w:r>
    </w:p>
    <w:p w:rsidR="007658D0" w:rsidRPr="007658D0" w:rsidRDefault="007658D0" w:rsidP="007658D0">
      <w:pPr>
        <w:pStyle w:val="Textnormy"/>
      </w:pPr>
    </w:p>
    <w:p w:rsidR="007658D0" w:rsidRPr="004178ED" w:rsidRDefault="007658D0" w:rsidP="007658D0">
      <w:pPr>
        <w:pStyle w:val="Nadpis1"/>
        <w:pageBreakBefore/>
        <w:spacing w:before="0"/>
      </w:pPr>
      <w:r w:rsidRPr="005460D6">
        <w:rPr>
          <w:rFonts w:cs="Arial"/>
          <w:sz w:val="18"/>
          <w:szCs w:val="18"/>
        </w:rPr>
        <w:lastRenderedPageBreak/>
        <w:fldChar w:fldCharType="end"/>
      </w:r>
      <w:r>
        <w:t>Evropská p</w:t>
      </w:r>
      <w:r w:rsidRPr="004178ED">
        <w:t>ředmluva</w:t>
      </w:r>
    </w:p>
    <w:p w:rsidR="007658D0" w:rsidRPr="004178ED" w:rsidRDefault="007658D0" w:rsidP="007658D0">
      <w:pPr>
        <w:pStyle w:val="Textnormy"/>
      </w:pPr>
      <w:r w:rsidRPr="004178ED">
        <w:t>T</w:t>
      </w:r>
      <w:r>
        <w:t>ento dokument (EN 50383:2010)</w:t>
      </w:r>
      <w:r w:rsidRPr="004178ED">
        <w:t xml:space="preserve"> vypracov</w:t>
      </w:r>
      <w:r>
        <w:t>ala</w:t>
      </w:r>
      <w:r w:rsidRPr="004178ED">
        <w:t xml:space="preserve"> technick</w:t>
      </w:r>
      <w:r>
        <w:t>á</w:t>
      </w:r>
      <w:r w:rsidRPr="004178ED">
        <w:t xml:space="preserve"> komis</w:t>
      </w:r>
      <w:r>
        <w:t>e</w:t>
      </w:r>
      <w:r w:rsidRPr="004178ED">
        <w:t xml:space="preserve"> CENELEC</w:t>
      </w:r>
      <w:r>
        <w:t>/</w:t>
      </w:r>
      <w:r w:rsidRPr="004178ED">
        <w:t xml:space="preserve">TC 106X </w:t>
      </w:r>
      <w:r w:rsidRPr="004B6D06">
        <w:rPr>
          <w:i/>
        </w:rPr>
        <w:t>Elektromagnetická pole v životním prostředí člověka</w:t>
      </w:r>
      <w:r w:rsidRPr="004178ED">
        <w:t>.</w:t>
      </w:r>
    </w:p>
    <w:p w:rsidR="007658D0" w:rsidRPr="004178ED" w:rsidRDefault="007658D0" w:rsidP="007658D0">
      <w:pPr>
        <w:pStyle w:val="Textnormy"/>
        <w:spacing w:before="120"/>
      </w:pPr>
      <w:r>
        <w:t>Jsou</w:t>
      </w:r>
      <w:r w:rsidRPr="004178ED">
        <w:t xml:space="preserve"> stanovena tato data:</w:t>
      </w:r>
    </w:p>
    <w:tbl>
      <w:tblPr>
        <w:tblW w:w="9923" w:type="dxa"/>
        <w:tblLayout w:type="fixed"/>
        <w:tblCellMar>
          <w:left w:w="0" w:type="dxa"/>
          <w:right w:w="28" w:type="dxa"/>
        </w:tblCellMar>
        <w:tblLook w:val="0000" w:firstRow="0" w:lastRow="0" w:firstColumn="0" w:lastColumn="0" w:noHBand="0" w:noVBand="0"/>
      </w:tblPr>
      <w:tblGrid>
        <w:gridCol w:w="7465"/>
        <w:gridCol w:w="861"/>
        <w:gridCol w:w="1597"/>
      </w:tblGrid>
      <w:tr w:rsidR="007658D0" w:rsidRPr="004178ED" w:rsidTr="002F2965">
        <w:tblPrEx>
          <w:tblCellMar>
            <w:top w:w="0" w:type="dxa"/>
            <w:bottom w:w="0" w:type="dxa"/>
          </w:tblCellMar>
        </w:tblPrEx>
        <w:tc>
          <w:tcPr>
            <w:tcW w:w="7465" w:type="dxa"/>
          </w:tcPr>
          <w:p w:rsidR="007658D0" w:rsidRPr="004178ED" w:rsidRDefault="007658D0" w:rsidP="002F2965">
            <w:pPr>
              <w:pStyle w:val="Seznamvnorm"/>
              <w:jc w:val="left"/>
            </w:pPr>
            <w:r w:rsidRPr="004178ED">
              <w:t xml:space="preserve">nejzazší datum zavedení </w:t>
            </w:r>
            <w:r>
              <w:t>dokumentu</w:t>
            </w:r>
            <w:r w:rsidRPr="004178ED">
              <w:t xml:space="preserve"> na národní úrovni</w:t>
            </w:r>
            <w:r w:rsidRPr="004178ED">
              <w:br/>
              <w:t>vydáním identické národní normy nebo vydáním</w:t>
            </w:r>
            <w:r w:rsidRPr="004178ED">
              <w:br/>
              <w:t>oznámení o</w:t>
            </w:r>
            <w:r>
              <w:t> </w:t>
            </w:r>
            <w:r w:rsidRPr="004178ED">
              <w:t>schválení k</w:t>
            </w:r>
            <w:r>
              <w:t> </w:t>
            </w:r>
            <w:r w:rsidRPr="004178ED">
              <w:t>přímému používání</w:t>
            </w:r>
            <w:r w:rsidRPr="004178ED">
              <w:br/>
              <w:t>jako normy národní</w:t>
            </w:r>
          </w:p>
        </w:tc>
        <w:tc>
          <w:tcPr>
            <w:tcW w:w="861" w:type="dxa"/>
            <w:vAlign w:val="bottom"/>
          </w:tcPr>
          <w:p w:rsidR="007658D0" w:rsidRPr="004178ED" w:rsidRDefault="007658D0" w:rsidP="002F2965">
            <w:pPr>
              <w:pStyle w:val="Textnormy"/>
              <w:jc w:val="left"/>
            </w:pPr>
            <w:r w:rsidRPr="004178ED">
              <w:t>(dop)</w:t>
            </w:r>
          </w:p>
        </w:tc>
        <w:tc>
          <w:tcPr>
            <w:tcW w:w="1597" w:type="dxa"/>
            <w:vAlign w:val="bottom"/>
          </w:tcPr>
          <w:p w:rsidR="007658D0" w:rsidRPr="004178ED" w:rsidRDefault="007658D0" w:rsidP="002F2965">
            <w:pPr>
              <w:pStyle w:val="Textnormy"/>
              <w:jc w:val="left"/>
            </w:pPr>
            <w:r w:rsidRPr="004178ED">
              <w:t>20</w:t>
            </w:r>
            <w:r>
              <w:t>11</w:t>
            </w:r>
            <w:r w:rsidRPr="004178ED">
              <w:t>-07-01</w:t>
            </w:r>
          </w:p>
        </w:tc>
      </w:tr>
      <w:tr w:rsidR="007658D0" w:rsidRPr="004178ED" w:rsidTr="002F2965">
        <w:tblPrEx>
          <w:tblCellMar>
            <w:top w:w="0" w:type="dxa"/>
            <w:bottom w:w="0" w:type="dxa"/>
          </w:tblCellMar>
        </w:tblPrEx>
        <w:tc>
          <w:tcPr>
            <w:tcW w:w="7465" w:type="dxa"/>
          </w:tcPr>
          <w:p w:rsidR="007658D0" w:rsidRPr="004178ED" w:rsidRDefault="007658D0" w:rsidP="002F2965">
            <w:pPr>
              <w:pStyle w:val="Seznamvnorm"/>
              <w:jc w:val="left"/>
            </w:pPr>
            <w:r w:rsidRPr="004178ED">
              <w:t>nejzazší datum zrušení národních norem,</w:t>
            </w:r>
            <w:r w:rsidRPr="004178ED">
              <w:br/>
              <w:t>které jsou s</w:t>
            </w:r>
            <w:r>
              <w:t> dokumentem</w:t>
            </w:r>
            <w:r w:rsidRPr="004178ED">
              <w:t xml:space="preserve"> v</w:t>
            </w:r>
            <w:r>
              <w:t> </w:t>
            </w:r>
            <w:r w:rsidRPr="004178ED">
              <w:t>rozporu</w:t>
            </w:r>
          </w:p>
        </w:tc>
        <w:tc>
          <w:tcPr>
            <w:tcW w:w="861" w:type="dxa"/>
            <w:vAlign w:val="bottom"/>
          </w:tcPr>
          <w:p w:rsidR="007658D0" w:rsidRPr="004178ED" w:rsidRDefault="007658D0" w:rsidP="002F2965">
            <w:pPr>
              <w:pStyle w:val="Textnormy"/>
              <w:jc w:val="left"/>
            </w:pPr>
            <w:r w:rsidRPr="004178ED">
              <w:t>(dow)</w:t>
            </w:r>
          </w:p>
        </w:tc>
        <w:tc>
          <w:tcPr>
            <w:tcW w:w="1597" w:type="dxa"/>
            <w:vAlign w:val="bottom"/>
          </w:tcPr>
          <w:p w:rsidR="007658D0" w:rsidRPr="004178ED" w:rsidRDefault="007658D0" w:rsidP="002F2965">
            <w:pPr>
              <w:pStyle w:val="Textnormy"/>
              <w:jc w:val="left"/>
            </w:pPr>
            <w:r w:rsidRPr="004178ED">
              <w:t>20</w:t>
            </w:r>
            <w:r>
              <w:t>13</w:t>
            </w:r>
            <w:r w:rsidRPr="004178ED">
              <w:t>-07-01</w:t>
            </w:r>
          </w:p>
        </w:tc>
      </w:tr>
    </w:tbl>
    <w:p w:rsidR="007658D0" w:rsidRDefault="007658D0" w:rsidP="007658D0">
      <w:pPr>
        <w:pStyle w:val="Textnormy"/>
        <w:spacing w:before="120"/>
      </w:pPr>
      <w:r w:rsidRPr="00386FF5">
        <w:t xml:space="preserve">Upozorňuje se na možnost, že některé prvky tohoto dokumentu mohou být předmětem patentových práv. </w:t>
      </w:r>
      <w:r>
        <w:t xml:space="preserve">CENELEC </w:t>
      </w:r>
      <w:r w:rsidRPr="00386FF5">
        <w:t xml:space="preserve">nelze činit odpovědným za identifikaci </w:t>
      </w:r>
      <w:r>
        <w:t>jakéhokoliv</w:t>
      </w:r>
      <w:r w:rsidRPr="00386FF5">
        <w:t xml:space="preserve"> nebo všech patentových práv</w:t>
      </w:r>
      <w:r>
        <w:t>.</w:t>
      </w:r>
    </w:p>
    <w:p w:rsidR="007658D0" w:rsidRDefault="007658D0" w:rsidP="007658D0">
      <w:pPr>
        <w:pStyle w:val="Textnormy"/>
      </w:pPr>
      <w:r>
        <w:t>Tato evropská norma byla vypr</w:t>
      </w:r>
      <w:r>
        <w:t>a</w:t>
      </w:r>
      <w:r>
        <w:t>cována na základě mandátu M/351 uděleného CENELEC Evropskou komisí a Evropským sdružením volného obchodu a podporuje splnění základních požadavků směrnice EU</w:t>
      </w:r>
      <w:r w:rsidRPr="004178ED">
        <w:t>.</w:t>
      </w:r>
    </w:p>
    <w:p w:rsidR="007658D0" w:rsidRPr="004178ED" w:rsidRDefault="007658D0" w:rsidP="007658D0">
      <w:pPr>
        <w:pStyle w:val="Nadpis1"/>
        <w:pageBreakBefore/>
        <w:spacing w:before="0"/>
      </w:pPr>
      <w:bookmarkStart w:id="0" w:name="_Toc25569130"/>
      <w:bookmarkStart w:id="1" w:name="_Toc27456686"/>
      <w:bookmarkStart w:id="2" w:name="_Toc27457930"/>
      <w:bookmarkStart w:id="3" w:name="_Toc27457931"/>
      <w:bookmarkStart w:id="4" w:name="_Toc54598762"/>
      <w:bookmarkStart w:id="5" w:name="_Toc113952196"/>
      <w:r w:rsidRPr="004178ED">
        <w:lastRenderedPageBreak/>
        <w:t>1</w:t>
      </w:r>
      <w:r w:rsidRPr="004178ED">
        <w:rPr>
          <w:rFonts w:ascii="Arial Unicode MS" w:eastAsia="Arial Unicode MS" w:hAnsi="Arial Unicode MS" w:cs="Arial Unicode MS" w:hint="eastAsia"/>
        </w:rPr>
        <w:t> </w:t>
      </w:r>
      <w:bookmarkEnd w:id="0"/>
      <w:bookmarkEnd w:id="1"/>
      <w:bookmarkEnd w:id="2"/>
      <w:bookmarkEnd w:id="3"/>
      <w:bookmarkEnd w:id="4"/>
      <w:r w:rsidRPr="004178ED">
        <w:t>Rozsah platnosti</w:t>
      </w:r>
      <w:bookmarkEnd w:id="5"/>
    </w:p>
    <w:p w:rsidR="007658D0" w:rsidRPr="00092F11" w:rsidRDefault="007658D0" w:rsidP="007658D0">
      <w:pPr>
        <w:pStyle w:val="Textnormy"/>
      </w:pPr>
      <w:r w:rsidRPr="00092F11">
        <w:t>Tato základní norma platí pro vysílací základnové stanice a pevné koncové stanice bezdrátové telekomun</w:t>
      </w:r>
      <w:r w:rsidRPr="00092F11">
        <w:t>i</w:t>
      </w:r>
      <w:r w:rsidRPr="00092F11">
        <w:t>kační sítě určené v kapitole 4, pracující v kmitočtovém rozsahu 110 MHz až 40</w:t>
      </w:r>
      <w:r w:rsidRPr="00092F11">
        <w:rPr>
          <w:vertAlign w:val="superscript"/>
        </w:rPr>
        <w:t>NP</w:t>
      </w:r>
      <w:r w:rsidRPr="00092F11">
        <w:rPr>
          <w:rStyle w:val="Znakapoznpodarou"/>
        </w:rPr>
        <w:footnoteReference w:id="1"/>
      </w:r>
      <w:r w:rsidRPr="00092F11">
        <w:rPr>
          <w:vertAlign w:val="superscript"/>
        </w:rPr>
        <w:t>)</w:t>
      </w:r>
      <w:r w:rsidRPr="00092F11">
        <w:t> GHz.</w:t>
      </w:r>
    </w:p>
    <w:p w:rsidR="007658D0" w:rsidRPr="00092F11" w:rsidRDefault="007658D0" w:rsidP="007658D0">
      <w:pPr>
        <w:pStyle w:val="Textnormy"/>
      </w:pPr>
      <w:r w:rsidRPr="00092F11">
        <w:t>Účelem normy je stanovit pro takové zařízení metodu pro stanovení vzdálenosti shody se základními omezen</w:t>
      </w:r>
      <w:r w:rsidRPr="00092F11">
        <w:t>í</w:t>
      </w:r>
      <w:r w:rsidRPr="00092F11">
        <w:t>mi (přímo nebo nepřímo přes shodu s referenčními úrovněmi) s ohledem na vystavení člověka vysokofrekven</w:t>
      </w:r>
      <w:r w:rsidRPr="00092F11">
        <w:t>č</w:t>
      </w:r>
      <w:r w:rsidRPr="00092F11">
        <w:t>ním elektromagnetickým polím.</w:t>
      </w:r>
    </w:p>
    <w:p w:rsidR="007658D0" w:rsidRPr="00092F11" w:rsidRDefault="007658D0" w:rsidP="007658D0">
      <w:pPr>
        <w:pStyle w:val="Nadpis1"/>
      </w:pPr>
      <w:bookmarkStart w:id="6" w:name="_Toc359251364"/>
      <w:bookmarkStart w:id="7" w:name="_Toc359251522"/>
      <w:bookmarkStart w:id="8" w:name="_Toc359251682"/>
      <w:bookmarkStart w:id="9" w:name="_Toc359251939"/>
      <w:bookmarkStart w:id="10" w:name="_Toc359252128"/>
      <w:bookmarkStart w:id="11" w:name="_Toc359252243"/>
      <w:bookmarkStart w:id="12" w:name="_Toc359252486"/>
      <w:bookmarkStart w:id="13" w:name="_Toc359252726"/>
      <w:bookmarkStart w:id="14" w:name="_Toc359252847"/>
      <w:bookmarkStart w:id="15" w:name="_Toc359252921"/>
      <w:bookmarkStart w:id="16" w:name="_Toc359283647"/>
      <w:bookmarkStart w:id="17" w:name="_Toc365965547"/>
      <w:bookmarkStart w:id="18" w:name="_Toc365967314"/>
      <w:bookmarkStart w:id="19" w:name="_Toc365968761"/>
      <w:bookmarkStart w:id="20" w:name="_Toc367082926"/>
      <w:bookmarkStart w:id="21" w:name="_Toc372429541"/>
      <w:bookmarkStart w:id="22" w:name="_Toc375302775"/>
      <w:bookmarkStart w:id="23" w:name="_Toc379098932"/>
      <w:bookmarkStart w:id="24" w:name="_Toc380735105"/>
      <w:bookmarkStart w:id="25" w:name="_Toc380735205"/>
      <w:bookmarkStart w:id="26" w:name="_Toc380825389"/>
      <w:bookmarkStart w:id="27" w:name="_Toc380827278"/>
      <w:bookmarkStart w:id="28" w:name="_Toc380886224"/>
      <w:bookmarkStart w:id="29" w:name="_Toc380886262"/>
      <w:bookmarkStart w:id="30" w:name="_Toc380886372"/>
      <w:bookmarkStart w:id="31" w:name="_Toc380886469"/>
      <w:bookmarkStart w:id="32" w:name="_Toc486740676"/>
      <w:bookmarkStart w:id="33" w:name="_Toc27456687"/>
      <w:bookmarkStart w:id="34" w:name="_Toc27457932"/>
      <w:bookmarkStart w:id="35" w:name="_Toc54598763"/>
      <w:bookmarkStart w:id="36" w:name="_Toc113952197"/>
      <w:r w:rsidRPr="00092F11">
        <w:t>2</w:t>
      </w:r>
      <w:r w:rsidRPr="00092F11">
        <w:rPr>
          <w:rFonts w:ascii="Arial Unicode MS" w:eastAsia="Arial Unicode MS" w:hAnsi="Arial Unicode MS" w:cs="Arial Unicode MS" w:hint="eastAsia"/>
        </w:rPr>
        <w:t>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092F11">
        <w:t>Citované dokumenty</w:t>
      </w:r>
    </w:p>
    <w:p w:rsidR="007658D0" w:rsidRPr="00092F11" w:rsidRDefault="007658D0" w:rsidP="007658D0">
      <w:pPr>
        <w:pStyle w:val="Textnormy"/>
      </w:pPr>
      <w:bookmarkStart w:id="37" w:name="_Toc359251365"/>
      <w:bookmarkStart w:id="38" w:name="_Toc359251523"/>
      <w:bookmarkStart w:id="39" w:name="_Toc359251683"/>
      <w:bookmarkStart w:id="40" w:name="_Toc359251940"/>
      <w:bookmarkStart w:id="41" w:name="_Toc359252129"/>
      <w:bookmarkStart w:id="42" w:name="_Toc359252244"/>
      <w:bookmarkStart w:id="43" w:name="_Toc359252487"/>
      <w:bookmarkStart w:id="44" w:name="_Toc359252727"/>
      <w:bookmarkStart w:id="45" w:name="_Toc359252848"/>
      <w:bookmarkStart w:id="46" w:name="_Toc359252922"/>
      <w:bookmarkStart w:id="47" w:name="_Toc359283648"/>
      <w:bookmarkStart w:id="48" w:name="_Toc365965548"/>
      <w:bookmarkStart w:id="49" w:name="_Toc365967315"/>
      <w:bookmarkStart w:id="50" w:name="_Toc365968762"/>
      <w:bookmarkStart w:id="51" w:name="_Toc367082927"/>
      <w:bookmarkStart w:id="52" w:name="_Toc372429542"/>
      <w:bookmarkStart w:id="53" w:name="_Toc375302776"/>
      <w:bookmarkStart w:id="54" w:name="_Toc379098933"/>
      <w:bookmarkStart w:id="55" w:name="_Toc380735106"/>
      <w:bookmarkStart w:id="56" w:name="_Toc380735206"/>
      <w:bookmarkStart w:id="57" w:name="_Toc380825390"/>
      <w:bookmarkStart w:id="58" w:name="_Toc380827279"/>
      <w:bookmarkStart w:id="59" w:name="_Toc380886225"/>
      <w:bookmarkStart w:id="60" w:name="_Toc380886263"/>
      <w:bookmarkStart w:id="61" w:name="_Toc380886373"/>
      <w:bookmarkStart w:id="62" w:name="_Toc380886470"/>
      <w:bookmarkStart w:id="63" w:name="_Toc486740677"/>
      <w:r w:rsidRPr="00092F11">
        <w:t>Na dále uvedené dokumenty se v textu odkazuje takovým způsobem, že celý jejich obsah nebo jeho část představují požadavky tohoto dokumentu. U datovaných citovaných dokumentů se používají pouze datované citované dokumenty. U nedatovaných citovaných dokumentů se používá pouze nejnovější vydání citovaného dokumentu (včetně všech změn).</w:t>
      </w:r>
    </w:p>
    <w:p w:rsidR="007658D0" w:rsidRPr="00092F11" w:rsidRDefault="007658D0" w:rsidP="007658D0">
      <w:pPr>
        <w:pStyle w:val="Textnormy"/>
        <w:spacing w:after="0"/>
        <w:rPr>
          <w:rStyle w:val="TextnormyUSChar"/>
          <w:lang w:val="en-US"/>
        </w:rPr>
      </w:pPr>
      <w:r w:rsidRPr="00092F11">
        <w:rPr>
          <w:rStyle w:val="TextnormyUSChar"/>
          <w:lang w:val="en-US"/>
        </w:rPr>
        <w:t>EN 50361:2001</w:t>
      </w:r>
      <w:r w:rsidRPr="00092F11">
        <w:rPr>
          <w:rStyle w:val="TextnormyUSChar"/>
          <w:rFonts w:eastAsia="Arial Unicode MS"/>
          <w:lang w:val="en-US"/>
        </w:rPr>
        <w:t> </w:t>
      </w:r>
      <w:r w:rsidRPr="00092F11">
        <w:rPr>
          <w:rStyle w:val="TextnormyUSChar"/>
          <w:lang w:val="en-US"/>
        </w:rPr>
        <w:t>Basic standard for the measurement of Specific Absorption Rate related to human exposure to electro-magnetic fields from mobile phones (300 MHz – 3 GHz)</w:t>
      </w:r>
    </w:p>
    <w:p w:rsidR="007658D0" w:rsidRPr="00092F11" w:rsidRDefault="007658D0" w:rsidP="007658D0">
      <w:pPr>
        <w:pStyle w:val="Textnormy"/>
        <w:rPr>
          <w:i/>
        </w:rPr>
      </w:pPr>
      <w:r w:rsidRPr="00092F11">
        <w:rPr>
          <w:rFonts w:cs="Arial"/>
          <w:i/>
        </w:rPr>
        <w:t>[</w:t>
      </w:r>
      <w:r w:rsidRPr="00092F11">
        <w:rPr>
          <w:i/>
        </w:rPr>
        <w:t>Základní norma pro měření specifické míry absorpce (SAR) z hlediska expozice člověka elektromagnetick</w:t>
      </w:r>
      <w:r w:rsidRPr="00092F11">
        <w:rPr>
          <w:i/>
        </w:rPr>
        <w:t>ý</w:t>
      </w:r>
      <w:r w:rsidRPr="00092F11">
        <w:rPr>
          <w:i/>
        </w:rPr>
        <w:t>mi poli z mobilních telefonů (300 MHz – 3 GHz)</w:t>
      </w:r>
      <w:r w:rsidRPr="00092F11">
        <w:rPr>
          <w:rFonts w:cs="Arial"/>
          <w:i/>
        </w:rPr>
        <w:t>]</w:t>
      </w:r>
    </w:p>
    <w:p w:rsidR="007658D0" w:rsidRPr="00092F11" w:rsidRDefault="007658D0" w:rsidP="007658D0">
      <w:pPr>
        <w:pStyle w:val="TextnormyUS"/>
        <w:rPr>
          <w:lang w:val="en-US"/>
        </w:rPr>
      </w:pPr>
      <w:r w:rsidRPr="00092F11">
        <w:rPr>
          <w:lang w:val="en-US"/>
        </w:rPr>
        <w:t>ISO/IEC 17025:1999</w:t>
      </w:r>
      <w:r w:rsidRPr="00092F11">
        <w:rPr>
          <w:rFonts w:ascii="Arial Unicode MS" w:eastAsia="Arial Unicode MS" w:hAnsi="Arial Unicode MS" w:cs="Arial Unicode MS"/>
          <w:lang w:val="en-US"/>
        </w:rPr>
        <w:t> </w:t>
      </w:r>
      <w:r w:rsidRPr="00092F11">
        <w:rPr>
          <w:lang w:val="en-US"/>
        </w:rPr>
        <w:t>General requirements for the competence of testing and calibration laboratories</w:t>
      </w:r>
    </w:p>
    <w:p w:rsidR="007658D0" w:rsidRPr="00092F11" w:rsidRDefault="007658D0" w:rsidP="007658D0">
      <w:pPr>
        <w:pStyle w:val="Textnormy"/>
        <w:rPr>
          <w:i/>
        </w:rPr>
      </w:pPr>
      <w:r w:rsidRPr="00092F11">
        <w:rPr>
          <w:i/>
        </w:rPr>
        <w:t>(Obecné požadavky pro způsobilost zkušebních a kalibračních laboratoří)</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7658D0" w:rsidRPr="004178ED" w:rsidRDefault="007658D0" w:rsidP="007658D0">
      <w:pPr>
        <w:pStyle w:val="Nadpis1"/>
      </w:pPr>
      <w:bookmarkStart w:id="64" w:name="_Toc25569132"/>
      <w:bookmarkStart w:id="65" w:name="_Toc27456688"/>
      <w:bookmarkStart w:id="66" w:name="_Toc27457933"/>
      <w:bookmarkStart w:id="67" w:name="_Toc54598764"/>
      <w:bookmarkStart w:id="68" w:name="_Toc113952198"/>
      <w:r w:rsidRPr="004178ED">
        <w:t>3</w:t>
      </w:r>
      <w:r w:rsidRPr="004178ED">
        <w:rPr>
          <w:rFonts w:ascii="Arial Unicode MS" w:eastAsia="Arial Unicode MS" w:hAnsi="Arial Unicode MS" w:cs="Arial Unicode MS" w:hint="eastAsia"/>
        </w:rPr>
        <w:t> </w:t>
      </w:r>
      <w:r w:rsidRPr="004178ED">
        <w:t>Fyzikální veličiny, jednotky a</w:t>
      </w:r>
      <w:r>
        <w:t> </w:t>
      </w:r>
      <w:r w:rsidRPr="004178ED">
        <w:t>konstanty</w:t>
      </w:r>
      <w:bookmarkEnd w:id="64"/>
      <w:bookmarkEnd w:id="65"/>
      <w:bookmarkEnd w:id="66"/>
      <w:bookmarkEnd w:id="67"/>
      <w:bookmarkEnd w:id="68"/>
    </w:p>
    <w:p w:rsidR="007658D0" w:rsidRPr="004178ED" w:rsidRDefault="007658D0" w:rsidP="007658D0">
      <w:pPr>
        <w:pStyle w:val="Nadpis2"/>
      </w:pPr>
      <w:bookmarkStart w:id="69" w:name="_Toc25569133"/>
      <w:bookmarkStart w:id="70" w:name="_Toc27456689"/>
      <w:bookmarkStart w:id="71" w:name="_Toc27457934"/>
      <w:bookmarkStart w:id="72" w:name="_Toc54598765"/>
      <w:bookmarkStart w:id="73" w:name="_Toc113952199"/>
      <w:r w:rsidRPr="004178ED">
        <w:t>3.1</w:t>
      </w:r>
      <w:r w:rsidRPr="004178ED">
        <w:rPr>
          <w:rFonts w:ascii="Arial Unicode MS" w:eastAsia="Arial Unicode MS" w:hAnsi="Arial Unicode MS" w:cs="Arial Unicode MS" w:hint="eastAsia"/>
        </w:rPr>
        <w:t> </w:t>
      </w:r>
      <w:r w:rsidRPr="004178ED">
        <w:t>Veličiny</w:t>
      </w:r>
      <w:bookmarkEnd w:id="69"/>
      <w:bookmarkEnd w:id="70"/>
      <w:bookmarkEnd w:id="71"/>
      <w:bookmarkEnd w:id="72"/>
      <w:bookmarkEnd w:id="73"/>
    </w:p>
    <w:p w:rsidR="007658D0" w:rsidRPr="004178ED" w:rsidRDefault="007658D0" w:rsidP="007658D0">
      <w:pPr>
        <w:pStyle w:val="Textnormy"/>
      </w:pPr>
      <w:r w:rsidRPr="004178ED">
        <w:t>V tomto dokumentu jsou používány mezinárodně přijaté jednotky SI.</w:t>
      </w:r>
    </w:p>
    <w:p w:rsidR="007658D0" w:rsidRPr="004178ED" w:rsidRDefault="007658D0" w:rsidP="007658D0">
      <w:pPr>
        <w:pStyle w:val="Nadpislnku"/>
        <w:tabs>
          <w:tab w:val="left" w:pos="3402"/>
          <w:tab w:val="left" w:pos="4962"/>
          <w:tab w:val="left" w:pos="8505"/>
        </w:tabs>
      </w:pPr>
      <w:r w:rsidRPr="004178ED">
        <w:t>veličina</w:t>
      </w:r>
      <w:r w:rsidRPr="004178ED">
        <w:tab/>
        <w:t>značka</w:t>
      </w:r>
      <w:r w:rsidRPr="004178ED">
        <w:tab/>
        <w:t>jednotka</w:t>
      </w:r>
      <w:r w:rsidRPr="004178ED">
        <w:tab/>
        <w:t>rozměr</w:t>
      </w:r>
    </w:p>
    <w:p w:rsidR="007658D0" w:rsidRPr="004178ED" w:rsidRDefault="007658D0" w:rsidP="007658D0">
      <w:pPr>
        <w:pStyle w:val="Textnormy"/>
        <w:tabs>
          <w:tab w:val="left" w:pos="3402"/>
          <w:tab w:val="left" w:pos="4962"/>
          <w:tab w:val="left" w:pos="8505"/>
        </w:tabs>
      </w:pPr>
      <w:r w:rsidRPr="004178ED">
        <w:t>hustota proudu</w:t>
      </w:r>
      <w:r w:rsidRPr="004178ED">
        <w:tab/>
      </w:r>
      <w:r w:rsidRPr="004178ED">
        <w:rPr>
          <w:i/>
        </w:rPr>
        <w:t>J</w:t>
      </w:r>
      <w:r w:rsidRPr="004178ED">
        <w:tab/>
        <w:t>ampér na čtvereční metr</w:t>
      </w:r>
      <w:r w:rsidRPr="004178ED">
        <w:tab/>
        <w:t>A.m</w:t>
      </w:r>
      <w:r w:rsidRPr="004178ED">
        <w:rPr>
          <w:vertAlign w:val="superscript"/>
        </w:rPr>
        <w:t>–2</w:t>
      </w:r>
    </w:p>
    <w:p w:rsidR="007658D0" w:rsidRPr="004178ED" w:rsidRDefault="007658D0" w:rsidP="007658D0">
      <w:pPr>
        <w:pStyle w:val="Textnormy"/>
        <w:tabs>
          <w:tab w:val="left" w:pos="3402"/>
          <w:tab w:val="left" w:pos="4962"/>
          <w:tab w:val="left" w:pos="8505"/>
        </w:tabs>
      </w:pPr>
      <w:r w:rsidRPr="004178ED">
        <w:t>intenzita elektrického pole</w:t>
      </w:r>
      <w:r w:rsidRPr="004178ED">
        <w:tab/>
      </w:r>
      <w:r w:rsidRPr="004178ED">
        <w:rPr>
          <w:i/>
        </w:rPr>
        <w:t>E</w:t>
      </w:r>
      <w:r w:rsidRPr="004178ED">
        <w:tab/>
        <w:t>volt na metr</w:t>
      </w:r>
      <w:r w:rsidRPr="004178ED">
        <w:tab/>
        <w:t>V.m</w:t>
      </w:r>
      <w:r w:rsidRPr="004178ED">
        <w:rPr>
          <w:vertAlign w:val="superscript"/>
        </w:rPr>
        <w:t>–1</w:t>
      </w:r>
    </w:p>
    <w:p w:rsidR="007658D0" w:rsidRPr="004178ED" w:rsidRDefault="007658D0" w:rsidP="007658D0">
      <w:pPr>
        <w:pStyle w:val="Textnormy"/>
        <w:tabs>
          <w:tab w:val="left" w:pos="3402"/>
          <w:tab w:val="left" w:pos="4962"/>
          <w:tab w:val="left" w:pos="8505"/>
        </w:tabs>
      </w:pPr>
      <w:r w:rsidRPr="004178ED">
        <w:t>elektrická indukce</w:t>
      </w:r>
      <w:r w:rsidRPr="004178ED">
        <w:tab/>
      </w:r>
      <w:r w:rsidRPr="004178ED">
        <w:rPr>
          <w:i/>
        </w:rPr>
        <w:t>D</w:t>
      </w:r>
      <w:r w:rsidRPr="004178ED">
        <w:tab/>
        <w:t>coulomb na čtv</w:t>
      </w:r>
      <w:r w:rsidRPr="004178ED">
        <w:t>e</w:t>
      </w:r>
      <w:r w:rsidRPr="004178ED">
        <w:t>reční metr</w:t>
      </w:r>
      <w:r w:rsidRPr="004178ED">
        <w:tab/>
        <w:t>C.m</w:t>
      </w:r>
      <w:r w:rsidRPr="004178ED">
        <w:rPr>
          <w:vertAlign w:val="superscript"/>
        </w:rPr>
        <w:t>–2</w:t>
      </w:r>
    </w:p>
    <w:p w:rsidR="007658D0" w:rsidRPr="004178ED" w:rsidRDefault="007658D0" w:rsidP="007658D0">
      <w:pPr>
        <w:pStyle w:val="Textnormy"/>
        <w:tabs>
          <w:tab w:val="left" w:pos="3402"/>
          <w:tab w:val="left" w:pos="4962"/>
          <w:tab w:val="left" w:pos="8505"/>
        </w:tabs>
      </w:pPr>
      <w:r w:rsidRPr="004178ED">
        <w:t>elektrická vodivost</w:t>
      </w:r>
      <w:r w:rsidRPr="004178ED">
        <w:tab/>
      </w:r>
      <w:r w:rsidRPr="004178ED">
        <w:rPr>
          <w:i/>
        </w:rPr>
        <w:sym w:font="Symbol" w:char="F073"/>
      </w:r>
      <w:r w:rsidRPr="004178ED">
        <w:tab/>
        <w:t>siemens na metr</w:t>
      </w:r>
      <w:r w:rsidRPr="004178ED">
        <w:tab/>
        <w:t>S.m</w:t>
      </w:r>
      <w:r w:rsidRPr="004178ED">
        <w:rPr>
          <w:vertAlign w:val="superscript"/>
        </w:rPr>
        <w:t>–1</w:t>
      </w:r>
    </w:p>
    <w:p w:rsidR="007658D0" w:rsidRPr="004178ED" w:rsidRDefault="007658D0" w:rsidP="007658D0">
      <w:pPr>
        <w:pStyle w:val="Textnormy"/>
        <w:tabs>
          <w:tab w:val="left" w:pos="3402"/>
          <w:tab w:val="left" w:pos="4962"/>
          <w:tab w:val="left" w:pos="8505"/>
        </w:tabs>
      </w:pPr>
      <w:r w:rsidRPr="004178ED">
        <w:t>kmitočet</w:t>
      </w:r>
      <w:r w:rsidRPr="004178ED">
        <w:tab/>
      </w:r>
      <w:r w:rsidRPr="004178ED">
        <w:rPr>
          <w:i/>
        </w:rPr>
        <w:t>f</w:t>
      </w:r>
      <w:r w:rsidRPr="004178ED">
        <w:tab/>
        <w:t>hertz</w:t>
      </w:r>
      <w:r w:rsidRPr="004178ED">
        <w:tab/>
        <w:t>Hz</w:t>
      </w:r>
    </w:p>
    <w:p w:rsidR="007658D0" w:rsidRPr="004178ED" w:rsidRDefault="007658D0" w:rsidP="007658D0">
      <w:pPr>
        <w:pStyle w:val="Textnormy"/>
        <w:tabs>
          <w:tab w:val="left" w:pos="3402"/>
          <w:tab w:val="left" w:pos="4962"/>
          <w:tab w:val="left" w:pos="8505"/>
        </w:tabs>
      </w:pPr>
      <w:r w:rsidRPr="004178ED">
        <w:t>intenzita magnetického pole</w:t>
      </w:r>
      <w:r w:rsidRPr="004178ED">
        <w:tab/>
      </w:r>
      <w:r w:rsidRPr="004178ED">
        <w:rPr>
          <w:i/>
        </w:rPr>
        <w:t>H</w:t>
      </w:r>
      <w:r w:rsidRPr="004178ED">
        <w:tab/>
        <w:t>ampér na metr</w:t>
      </w:r>
      <w:r w:rsidRPr="004178ED">
        <w:tab/>
      </w:r>
      <w:r w:rsidRPr="004178ED">
        <w:tab/>
        <w:t>A.m</w:t>
      </w:r>
      <w:r w:rsidRPr="004178ED">
        <w:rPr>
          <w:vertAlign w:val="superscript"/>
        </w:rPr>
        <w:t>–1</w:t>
      </w:r>
    </w:p>
    <w:p w:rsidR="007658D0" w:rsidRDefault="007658D0" w:rsidP="007658D0">
      <w:pPr>
        <w:pStyle w:val="Textnormy"/>
        <w:tabs>
          <w:tab w:val="left" w:pos="3402"/>
          <w:tab w:val="left" w:pos="4962"/>
          <w:tab w:val="left" w:pos="8505"/>
        </w:tabs>
      </w:pPr>
      <w:r w:rsidRPr="004178ED">
        <w:t>magnetická indukce</w:t>
      </w:r>
      <w:r w:rsidRPr="004178ED">
        <w:tab/>
      </w:r>
      <w:r w:rsidRPr="004178ED">
        <w:rPr>
          <w:i/>
        </w:rPr>
        <w:t>B</w:t>
      </w:r>
      <w:r w:rsidRPr="004178ED">
        <w:tab/>
        <w:t>tesla (V.s/m</w:t>
      </w:r>
      <w:r w:rsidRPr="004178ED">
        <w:rPr>
          <w:vertAlign w:val="superscript"/>
        </w:rPr>
        <w:t>2</w:t>
      </w:r>
      <w:r w:rsidRPr="004178ED">
        <w:t>)</w:t>
      </w:r>
      <w:r w:rsidRPr="004178ED">
        <w:tab/>
      </w:r>
      <w:r w:rsidRPr="004178ED">
        <w:tab/>
        <w:t>T</w:t>
      </w:r>
    </w:p>
    <w:p w:rsidR="007658D0" w:rsidRDefault="007658D0" w:rsidP="007658D0">
      <w:pPr>
        <w:pStyle w:val="Textnormy"/>
        <w:tabs>
          <w:tab w:val="left" w:pos="3402"/>
          <w:tab w:val="left" w:pos="4962"/>
          <w:tab w:val="left" w:pos="8505"/>
        </w:tabs>
        <w:rPr>
          <w:i/>
        </w:rPr>
      </w:pPr>
      <w:r>
        <w:br w:type="page"/>
      </w:r>
      <w:r w:rsidRPr="00456CC4">
        <w:rPr>
          <w:i/>
          <w:highlight w:val="yellow"/>
        </w:rPr>
        <w:lastRenderedPageBreak/>
        <w:t>pokračuje další text</w:t>
      </w:r>
    </w:p>
    <w:p w:rsidR="007658D0" w:rsidRPr="00196552" w:rsidRDefault="007658D0" w:rsidP="007658D0">
      <w:pPr>
        <w:pStyle w:val="Nadpis1"/>
        <w:spacing w:before="0"/>
        <w:rPr>
          <w:b w:val="0"/>
          <w:i/>
          <w:sz w:val="20"/>
        </w:rPr>
      </w:pPr>
      <w:r>
        <w:rPr>
          <w:i/>
          <w:highlight w:val="yellow"/>
        </w:rPr>
        <w:br w:type="page"/>
      </w:r>
      <w:r>
        <w:lastRenderedPageBreak/>
        <w:t>Bibliografie</w:t>
      </w:r>
    </w:p>
    <w:p w:rsidR="007658D0" w:rsidRPr="00253FD6" w:rsidRDefault="007658D0" w:rsidP="007658D0">
      <w:pPr>
        <w:pStyle w:val="bibliografie"/>
        <w:rPr>
          <w:rFonts w:cs="Arial"/>
          <w:lang w:val="en-US"/>
        </w:rPr>
      </w:pPr>
      <w:r w:rsidRPr="00253FD6">
        <w:rPr>
          <w:rFonts w:eastAsia="SimSun" w:cs="Arial"/>
          <w:lang w:eastAsia="zh-CN"/>
        </w:rPr>
        <w:t>2004/40/EC</w:t>
      </w:r>
      <w:r>
        <w:rPr>
          <w:rFonts w:eastAsia="SimSun" w:cs="Arial"/>
          <w:lang w:eastAsia="zh-CN"/>
        </w:rPr>
        <w:t> </w:t>
      </w:r>
      <w:r w:rsidRPr="00B36B37">
        <w:rPr>
          <w:i/>
        </w:rPr>
        <w:t>Directive 2004/40/EC of the European Parliament and of the Council of 29 April 2004 on the minimum healt</w:t>
      </w:r>
      <w:bookmarkStart w:id="74" w:name="_GoBack"/>
      <w:bookmarkEnd w:id="74"/>
      <w:r w:rsidRPr="00B36B37">
        <w:rPr>
          <w:i/>
        </w:rPr>
        <w:t xml:space="preserve">h and safety requirements regarding the exposure of workers to the risks arising from physical agents (electromagnetic fields) (18th individual Directive within the meaning of Article 16(1) of </w:t>
      </w:r>
      <w:r>
        <w:rPr>
          <w:i/>
        </w:rPr>
        <w:br/>
      </w:r>
      <w:r w:rsidRPr="00B36B37">
        <w:rPr>
          <w:i/>
        </w:rPr>
        <w:t>D</w:t>
      </w:r>
      <w:r w:rsidRPr="00B36B37">
        <w:rPr>
          <w:i/>
        </w:rPr>
        <w:t>i</w:t>
      </w:r>
      <w:r w:rsidRPr="00B36B37">
        <w:rPr>
          <w:i/>
        </w:rPr>
        <w:t>rective 89/391/EEC),</w:t>
      </w:r>
      <w:r w:rsidRPr="00253FD6">
        <w:t xml:space="preserve"> </w:t>
      </w:r>
      <w:r w:rsidRPr="00253FD6">
        <w:rPr>
          <w:iCs/>
        </w:rPr>
        <w:t>OJ L 159, 30.4.2004, p. 1–26</w:t>
      </w:r>
    </w:p>
    <w:p w:rsidR="007658D0" w:rsidRPr="00560FB2" w:rsidRDefault="007658D0" w:rsidP="007658D0">
      <w:pPr>
        <w:pStyle w:val="bibliografie"/>
        <w:rPr>
          <w:rFonts w:cs="Arial"/>
          <w:lang w:eastAsia="en-GB"/>
        </w:rPr>
      </w:pPr>
      <w:r w:rsidRPr="0067424A">
        <w:rPr>
          <w:rFonts w:cs="Arial"/>
          <w:color w:val="000000"/>
          <w:spacing w:val="-2"/>
        </w:rPr>
        <w:t>ICNIRP-Guidelines</w:t>
      </w:r>
      <w:r w:rsidRPr="0067424A">
        <w:rPr>
          <w:rFonts w:cs="Arial"/>
          <w:color w:val="000000"/>
          <w:spacing w:val="-2"/>
        </w:rPr>
        <w:t> </w:t>
      </w:r>
      <w:r w:rsidRPr="0067424A">
        <w:rPr>
          <w:rFonts w:cs="Arial"/>
          <w:spacing w:val="-2"/>
          <w:lang w:eastAsia="en-GB"/>
        </w:rPr>
        <w:t>International Commission on Non-Ionizing Radiation Protection</w:t>
      </w:r>
      <w:r w:rsidRPr="0067424A">
        <w:rPr>
          <w:rFonts w:cs="Arial"/>
          <w:bCs/>
          <w:spacing w:val="-2"/>
          <w:lang w:eastAsia="en-GB"/>
        </w:rPr>
        <w:t xml:space="preserve">, </w:t>
      </w:r>
      <w:r w:rsidRPr="0067424A">
        <w:rPr>
          <w:rFonts w:cs="Arial"/>
          <w:bCs/>
          <w:i/>
          <w:spacing w:val="-2"/>
          <w:lang w:eastAsia="en-GB"/>
        </w:rPr>
        <w:t>Guidelines for lim</w:t>
      </w:r>
      <w:r w:rsidRPr="0067424A">
        <w:rPr>
          <w:rFonts w:cs="Arial"/>
          <w:bCs/>
          <w:i/>
          <w:spacing w:val="-2"/>
          <w:lang w:eastAsia="en-GB"/>
        </w:rPr>
        <w:t>i</w:t>
      </w:r>
      <w:r w:rsidRPr="0067424A">
        <w:rPr>
          <w:rFonts w:cs="Arial"/>
          <w:bCs/>
          <w:i/>
          <w:spacing w:val="-2"/>
          <w:lang w:eastAsia="en-GB"/>
        </w:rPr>
        <w:t>ting</w:t>
      </w:r>
      <w:r w:rsidRPr="0067424A">
        <w:rPr>
          <w:rFonts w:cs="Arial"/>
          <w:bCs/>
          <w:i/>
          <w:lang w:eastAsia="en-GB"/>
        </w:rPr>
        <w:t xml:space="preserve"> exposure to time-varying electric, magnetic, and electromagnetic fields (up to 300 GHz)</w:t>
      </w:r>
      <w:r w:rsidRPr="00253FD6">
        <w:rPr>
          <w:rFonts w:cs="Arial"/>
          <w:bCs/>
          <w:lang w:eastAsia="en-GB"/>
        </w:rPr>
        <w:t xml:space="preserve"> </w:t>
      </w:r>
      <w:r w:rsidRPr="00253FD6">
        <w:rPr>
          <w:rFonts w:cs="Arial"/>
          <w:lang w:eastAsia="en-GB"/>
        </w:rPr>
        <w:t>Health Physics, April 1998, Volume 74, 494-522</w:t>
      </w:r>
    </w:p>
    <w:p w:rsidR="007658D0" w:rsidRDefault="007658D0" w:rsidP="007658D0">
      <w:pPr>
        <w:pStyle w:val="Nadpis1"/>
        <w:pageBreakBefore/>
        <w:spacing w:before="0"/>
        <w:rPr>
          <w:b w:val="0"/>
        </w:rPr>
      </w:pPr>
      <w:r>
        <w:lastRenderedPageBreak/>
        <w:t xml:space="preserve">Národní příloha NA </w:t>
      </w:r>
      <w:r>
        <w:rPr>
          <w:b w:val="0"/>
        </w:rPr>
        <w:t>(informativní)</w:t>
      </w:r>
    </w:p>
    <w:p w:rsidR="007658D0" w:rsidRDefault="007658D0" w:rsidP="007658D0">
      <w:pPr>
        <w:pStyle w:val="Nadpiskapitoly"/>
      </w:pPr>
      <w:r>
        <w:t>Výčet dalších souvisících fyzikálních veličin, vyskytujících se v odborné literatuře</w:t>
      </w:r>
    </w:p>
    <w:p w:rsidR="007658D0" w:rsidRPr="00456CC4" w:rsidRDefault="007658D0" w:rsidP="007658D0">
      <w:pPr>
        <w:pStyle w:val="Textnormy"/>
      </w:pPr>
    </w:p>
    <w:sectPr w:rsidR="007658D0" w:rsidRPr="00456CC4" w:rsidSect="00AF7E9D">
      <w:headerReference w:type="even" r:id="rId14"/>
      <w:headerReference w:type="default" r:id="rId15"/>
      <w:footerReference w:type="even" r:id="rId16"/>
      <w:footerReference w:type="default" r:id="rId17"/>
      <w:headerReference w:type="first" r:id="rId18"/>
      <w:pgSz w:w="11907" w:h="16840" w:code="9"/>
      <w:pgMar w:top="1134" w:right="964" w:bottom="1134" w:left="102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BD8" w:rsidRDefault="00DD7BD8">
      <w:r>
        <w:separator/>
      </w:r>
    </w:p>
  </w:endnote>
  <w:endnote w:type="continuationSeparator" w:id="0">
    <w:p w:rsidR="00DD7BD8" w:rsidRDefault="00DD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embedRegular r:id="rId1" w:subsetted="1" w:fontKey="{58443102-21F3-4AA6-8FCD-401975D6F093}"/>
    <w:embedBold r:id="rId2" w:subsetted="1" w:fontKey="{51DCB462-D4C7-4B9B-A570-35534818445F}"/>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46" w:rsidRDefault="00F34746">
    <w:pPr>
      <w:pStyle w:val="Zpat"/>
      <w:framePr w:wrap="auto"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2</w:t>
    </w:r>
    <w:r>
      <w:rPr>
        <w:rStyle w:val="slostrnky"/>
      </w:rPr>
      <w:fldChar w:fldCharType="end"/>
    </w:r>
  </w:p>
  <w:p w:rsidR="00F34746" w:rsidRDefault="00F34746">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46" w:rsidRDefault="00F34746">
    <w:pPr>
      <w:pStyle w:val="Zpat"/>
      <w:framePr w:wrap="auto"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7</w:t>
    </w:r>
    <w:r>
      <w:rPr>
        <w:rStyle w:val="slostrnky"/>
      </w:rPr>
      <w:fldChar w:fldCharType="end"/>
    </w:r>
  </w:p>
  <w:p w:rsidR="00F34746" w:rsidRDefault="00F34746">
    <w:pPr>
      <w:pStyle w:val="Zpat"/>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46" w:rsidRDefault="0013039D">
    <w:pPr>
      <w:pStyle w:val="1StrCopyright"/>
      <w:tabs>
        <w:tab w:val="clear" w:pos="2155"/>
      </w:tabs>
      <w:rPr>
        <w:sz w:val="16"/>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894715" cy="323850"/>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746" w:rsidRDefault="0013039D">
                          <w:pPr>
                            <w:pStyle w:val="1StrCopyright"/>
                            <w:ind w:left="1843"/>
                            <w:jc w:val="right"/>
                          </w:pPr>
                          <w:r>
                            <w:rPr>
                              <w:rFonts w:ascii="Times New Roman" w:hAnsi="Times New Roman"/>
                              <w:noProof/>
                              <w:sz w:val="20"/>
                            </w:rPr>
                            <w:drawing>
                              <wp:inline distT="0" distB="0" distL="0" distR="0">
                                <wp:extent cx="897890" cy="324485"/>
                                <wp:effectExtent l="0" t="0" r="0" b="0"/>
                                <wp:docPr id="10" name="obrázek 1" descr="logo cer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rn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3244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0;width:70.4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" o:allowincell="f" stroked="f">
              <v:textbox inset="0,0,0,0">
                <w:txbxContent>
                  <w:p w:rsidR="00F34746" w:rsidRDefault="0013039D">
                    <w:pPr>
                      <w:pStyle w:val="1StrCopyright"/>
                      <w:ind w:left="1843"/>
                      <w:jc w:val="right"/>
                    </w:pPr>
                    <w:r>
                      <w:rPr>
                        <w:rFonts w:ascii="Times New Roman" w:hAnsi="Times New Roman"/>
                        <w:noProof/>
                        <w:sz w:val="20"/>
                      </w:rPr>
                      <w:drawing>
                        <wp:inline distT="0" distB="0" distL="0" distR="0">
                          <wp:extent cx="897890" cy="324485"/>
                          <wp:effectExtent l="0" t="0" r="0" b="0"/>
                          <wp:docPr id="10" name="obrázek 1" descr="logo cer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rn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324485"/>
                                  </a:xfrm>
                                  <a:prstGeom prst="rect">
                                    <a:avLst/>
                                  </a:prstGeom>
                                  <a:noFill/>
                                  <a:ln>
                                    <a:noFill/>
                                  </a:ln>
                                </pic:spPr>
                              </pic:pic>
                            </a:graphicData>
                          </a:graphic>
                        </wp:inline>
                      </w:drawing>
                    </w:r>
                  </w:p>
                </w:txbxContent>
              </v:textbox>
              <w10:wrap type="square"/>
            </v:shape>
          </w:pict>
        </mc:Fallback>
      </mc:AlternateContent>
    </w:r>
    <w:r w:rsidR="00F34746">
      <w:tab/>
    </w:r>
    <w:r w:rsidR="00F34746">
      <w:rPr>
        <w:sz w:val="16"/>
      </w:rPr>
      <w:t xml:space="preserve">© Úřad pro technickou normalizaci, metrologii a státní zkušebnictví, </w:t>
    </w:r>
    <w:r w:rsidR="007658D0">
      <w:rPr>
        <w:sz w:val="16"/>
      </w:rPr>
      <w:t>RRRR</w:t>
    </w:r>
    <w:r w:rsidR="00F34746">
      <w:rPr>
        <w:sz w:val="16"/>
      </w:rPr>
      <w:tab/>
    </w:r>
    <w:r w:rsidR="00F34746">
      <w:rPr>
        <w:b/>
        <w:sz w:val="20"/>
      </w:rPr>
      <w:t>XXXXX</w:t>
    </w:r>
    <w:r w:rsidR="00F34746">
      <w:rPr>
        <w:b/>
        <w:sz w:val="16"/>
      </w:rPr>
      <w:br/>
    </w:r>
    <w:r w:rsidR="00F34746">
      <w:rPr>
        <w:sz w:val="16"/>
      </w:rPr>
      <w:t>Podle zákona č. 22/1997 Sb. smějí být české technické normy rozmnožovány a rozšiřovány</w:t>
    </w:r>
    <w:r w:rsidR="00F34746">
      <w:rPr>
        <w:sz w:val="16"/>
      </w:rPr>
      <w:br/>
      <w:t>jen se souhlasem Úřadu pro technickou normalizaci, metrologii a státní zkušebnictví.</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24" w:rsidRDefault="00DD7BD8">
    <w:pPr>
      <w:pStyle w:val="Zpat"/>
      <w:ind w:right="360" w:firstLine="360"/>
    </w:pPr>
    <w:r>
      <w:rPr>
        <w:rStyle w:val="slostrnky"/>
      </w:rPr>
      <w:fldChar w:fldCharType="begin"/>
    </w:r>
    <w:r>
      <w:rPr>
        <w:rStyle w:val="slostrnky"/>
      </w:rPr>
      <w:instrText xml:space="preserve"> PAGE </w:instrText>
    </w:r>
    <w:r>
      <w:rPr>
        <w:rStyle w:val="slostrnky"/>
      </w:rPr>
      <w:fldChar w:fldCharType="separate"/>
    </w:r>
    <w:r w:rsidR="00092F11">
      <w:rPr>
        <w:rStyle w:val="slostrnky"/>
        <w:noProof/>
      </w:rPr>
      <w:t>8</w:t>
    </w:r>
    <w:r>
      <w:rPr>
        <w:rStyle w:val="slostrnky"/>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24" w:rsidRDefault="00DD7BD8">
    <w:pPr>
      <w:pStyle w:val="Zpat"/>
      <w:ind w:right="360" w:firstLine="360"/>
    </w:pPr>
    <w:r>
      <w:rPr>
        <w:rStyle w:val="slostrnky"/>
      </w:rPr>
      <w:fldChar w:fldCharType="begin"/>
    </w:r>
    <w:r>
      <w:rPr>
        <w:rStyle w:val="slostrnky"/>
      </w:rPr>
      <w:instrText xml:space="preserve"> PAGE </w:instrText>
    </w:r>
    <w:r>
      <w:rPr>
        <w:rStyle w:val="slostrnky"/>
      </w:rPr>
      <w:fldChar w:fldCharType="separate"/>
    </w:r>
    <w:r w:rsidR="00092F11">
      <w:rPr>
        <w:rStyle w:val="slostrnky"/>
        <w:noProof/>
      </w:rPr>
      <w:t>7</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BD8" w:rsidRDefault="00DD7BD8">
      <w:r>
        <w:separator/>
      </w:r>
    </w:p>
  </w:footnote>
  <w:footnote w:type="continuationSeparator" w:id="0">
    <w:p w:rsidR="00DD7BD8" w:rsidRDefault="00DD7BD8">
      <w:r>
        <w:continuationSeparator/>
      </w:r>
    </w:p>
  </w:footnote>
  <w:footnote w:id="1">
    <w:p w:rsidR="007658D0" w:rsidRDefault="007658D0" w:rsidP="007658D0">
      <w:pPr>
        <w:pStyle w:val="Textpoznpodarou"/>
        <w:tabs>
          <w:tab w:val="left" w:pos="426"/>
        </w:tabs>
      </w:pPr>
      <w:r>
        <w:rPr>
          <w:vertAlign w:val="superscript"/>
        </w:rPr>
        <w:t>NP</w:t>
      </w:r>
      <w:r>
        <w:rPr>
          <w:rStyle w:val="Znakapoznpodarou"/>
        </w:rPr>
        <w:footnoteRef/>
      </w:r>
      <w:r>
        <w:tab/>
        <w:t>NÁRODNÍ POZNÁMKA</w:t>
      </w:r>
      <w:r>
        <w:t> </w:t>
      </w:r>
      <w:r>
        <w:t xml:space="preserve">V originále je uvedena hodnota 140 GHz, což neodpovídá rozsahu uvedenému v názvu </w:t>
      </w:r>
      <w:r>
        <w:br/>
      </w:r>
      <w:r>
        <w:tab/>
        <w:t>normy.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46" w:rsidRDefault="00092F11">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00745" o:spid="_x0000_s2053" type="#_x0000_t136" style="position:absolute;left:0;text-align:left;margin-left:0;margin-top:0;width:625.75pt;height:73.6pt;rotation:315;z-index:-251654656;mso-position-horizontal:center;mso-position-horizontal-relative:margin;mso-position-vertical:center;mso-position-vertical-relative:margin" o:allowincell="f" fillcolor="#00b0f0" stroked="f">
          <v:fill opacity=".5"/>
          <v:textpath style="font-family:&quot;Arial&quot;;font-size:1pt" string="METODICKÝ VZOR"/>
        </v:shape>
      </w:pict>
    </w:r>
    <w:r w:rsidR="00F34746">
      <w:t>ČSN EN 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46" w:rsidRDefault="00092F11">
    <w:pPr>
      <w:pStyle w:val="Zhlav"/>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00746" o:spid="_x0000_s2054" type="#_x0000_t136" style="position:absolute;left:0;text-align:left;margin-left:0;margin-top:0;width:625.75pt;height:73.6pt;rotation:315;z-index:-251652608;mso-position-horizontal:center;mso-position-horizontal-relative:margin;mso-position-vertical:center;mso-position-vertical-relative:margin" o:allowincell="f" fillcolor="#00b0f0" stroked="f">
          <v:fill opacity=".5"/>
          <v:textpath style="font-family:&quot;Arial&quot;;font-size:1pt" string="METODICKÝ VZOR"/>
        </v:shape>
      </w:pict>
    </w:r>
    <w:r w:rsidR="00F34746">
      <w:t>ČSN EN 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11" w:rsidRDefault="00092F11">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00744" o:spid="_x0000_s2052" type="#_x0000_t136" style="position:absolute;left:0;text-align:left;margin-left:0;margin-top:0;width:625.75pt;height:73.6pt;rotation:315;z-index:-251656704;mso-position-horizontal:center;mso-position-horizontal-relative:margin;mso-position-vertical:center;mso-position-vertical-relative:margin" o:allowincell="f" fillcolor="#00b0f0" stroked="f">
          <v:fill opacity=".5"/>
          <v:textpath style="font-family:&quot;Arial&quot;;font-size:1pt" string="METODICKÝ VZO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24" w:rsidRPr="004178ED" w:rsidRDefault="00092F11" w:rsidP="004178ED">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00748" o:spid="_x0000_s2056" type="#_x0000_t136" style="position:absolute;left:0;text-align:left;margin-left:0;margin-top:0;width:625.75pt;height:73.6pt;rotation:315;z-index:-251648512;mso-position-horizontal:center;mso-position-horizontal-relative:margin;mso-position-vertical:center;mso-position-vertical-relative:margin" o:allowincell="f" fillcolor="#00b0f0" stroked="f">
          <v:fill opacity=".5"/>
          <v:textpath style="font-family:&quot;Arial&quot;;font-size:1pt" string="METODICKÝ VZOR"/>
        </v:shape>
      </w:pict>
    </w:r>
    <w:r w:rsidR="00DD7BD8">
      <w:t>ČSN EN 50383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24" w:rsidRPr="004178ED" w:rsidRDefault="00092F11" w:rsidP="004178ED">
    <w:pPr>
      <w:pStyle w:val="Zhlav"/>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00749" o:spid="_x0000_s2057" type="#_x0000_t136" style="position:absolute;left:0;text-align:left;margin-left:0;margin-top:0;width:625.75pt;height:73.6pt;rotation:315;z-index:-251646464;mso-position-horizontal:center;mso-position-horizontal-relative:margin;mso-position-vertical:center;mso-position-vertical-relative:margin" o:allowincell="f" fillcolor="#00b0f0" stroked="f">
          <v:fill opacity=".5"/>
          <v:textpath style="font-family:&quot;Arial&quot;;font-size:1pt" string="METODICKÝ VZOR"/>
        </v:shape>
      </w:pict>
    </w:r>
    <w:r w:rsidR="00DD7BD8">
      <w:t>ČSN EN 50383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3" w:rsidRDefault="00092F11">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00747" o:spid="_x0000_s2055" type="#_x0000_t136" style="position:absolute;left:0;text-align:left;margin-left:0;margin-top:0;width:625.75pt;height:73.6pt;rotation:315;z-index:-251650560;mso-position-horizontal:center;mso-position-horizontal-relative:margin;mso-position-vertical:center;mso-position-vertical-relative:margin" o:allowincell="f" fillcolor="#00b0f0" stroked="f">
          <v:fill opacity=".5"/>
          <v:textpath style="font-family:&quot;Arial&quot;;font-size:1pt" string="METODICKÝ VZO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1" w15:restartNumberingAfterBreak="0">
    <w:nsid w:val="089561A9"/>
    <w:multiLevelType w:val="singleLevel"/>
    <w:tmpl w:val="FA08913A"/>
    <w:lvl w:ilvl="0">
      <w:start w:val="1"/>
      <w:numFmt w:val="lowerLetter"/>
      <w:pStyle w:val="ABCSeznamUS"/>
      <w:lvlText w:val="%1)"/>
      <w:lvlJc w:val="left"/>
      <w:pPr>
        <w:tabs>
          <w:tab w:val="num" w:pos="360"/>
        </w:tabs>
        <w:ind w:left="284" w:hanging="284"/>
      </w:pPr>
    </w:lvl>
  </w:abstractNum>
  <w:abstractNum w:abstractNumId="2" w15:restartNumberingAfterBreak="0">
    <w:nsid w:val="0A0C0D87"/>
    <w:multiLevelType w:val="singleLevel"/>
    <w:tmpl w:val="476C6820"/>
    <w:lvl w:ilvl="0">
      <w:start w:val="1"/>
      <w:numFmt w:val="decimal"/>
      <w:pStyle w:val="bibliografie"/>
      <w:lvlText w:val="[%1]"/>
      <w:lvlJc w:val="left"/>
      <w:pPr>
        <w:tabs>
          <w:tab w:val="num" w:pos="360"/>
        </w:tabs>
        <w:ind w:left="360" w:hanging="360"/>
      </w:pPr>
    </w:lvl>
  </w:abstractNum>
  <w:abstractNum w:abstractNumId="3" w15:restartNumberingAfterBreak="0">
    <w:nsid w:val="46166F52"/>
    <w:multiLevelType w:val="singleLevel"/>
    <w:tmpl w:val="04882B2A"/>
    <w:lvl w:ilvl="0">
      <w:start w:val="1"/>
      <w:numFmt w:val="decimal"/>
      <w:pStyle w:val="slovanseznam"/>
      <w:lvlText w:val="%1."/>
      <w:legacy w:legacy="1" w:legacySpace="0" w:legacyIndent="283"/>
      <w:lvlJc w:val="left"/>
      <w:pPr>
        <w:ind w:left="283" w:hanging="283"/>
      </w:pPr>
    </w:lvl>
  </w:abstractNum>
  <w:abstractNum w:abstractNumId="4" w15:restartNumberingAfterBreak="0">
    <w:nsid w:val="49266AB7"/>
    <w:multiLevelType w:val="singleLevel"/>
    <w:tmpl w:val="67E67A1E"/>
    <w:lvl w:ilvl="0">
      <w:start w:val="1"/>
      <w:numFmt w:val="decimal"/>
      <w:pStyle w:val="slovanseznamvnorm"/>
      <w:lvlText w:val="%1)"/>
      <w:lvlJc w:val="left"/>
      <w:pPr>
        <w:tabs>
          <w:tab w:val="num" w:pos="360"/>
        </w:tabs>
        <w:ind w:left="284" w:hanging="284"/>
      </w:pPr>
    </w:lvl>
  </w:abstractNum>
  <w:abstractNum w:abstractNumId="5" w15:restartNumberingAfterBreak="0">
    <w:nsid w:val="53177262"/>
    <w:multiLevelType w:val="singleLevel"/>
    <w:tmpl w:val="17569860"/>
    <w:lvl w:ilvl="0">
      <w:start w:val="1"/>
      <w:numFmt w:val="lowerLetter"/>
      <w:pStyle w:val="Abecednseznam"/>
      <w:lvlText w:val="%1)"/>
      <w:lvlJc w:val="left"/>
      <w:pPr>
        <w:tabs>
          <w:tab w:val="num" w:pos="360"/>
        </w:tabs>
        <w:ind w:left="284" w:hanging="284"/>
      </w:pPr>
    </w:lvl>
  </w:abstractNum>
  <w:abstractNum w:abstractNumId="6" w15:restartNumberingAfterBreak="0">
    <w:nsid w:val="7D3C38DE"/>
    <w:multiLevelType w:val="singleLevel"/>
    <w:tmpl w:val="AA88CE04"/>
    <w:lvl w:ilvl="0">
      <w:start w:val="1"/>
      <w:numFmt w:val="lowerLetter"/>
      <w:pStyle w:val="ABCseznamCZ"/>
      <w:lvlText w:val="%1)"/>
      <w:legacy w:legacy="1" w:legacySpace="0" w:legacyIndent="283"/>
      <w:lvlJc w:val="left"/>
      <w:pPr>
        <w:ind w:left="283" w:hanging="283"/>
      </w:pPr>
    </w:lvl>
  </w:abstractNum>
  <w:num w:numId="1">
    <w:abstractNumId w:val="5"/>
  </w:num>
  <w:num w:numId="2">
    <w:abstractNumId w:val="3"/>
  </w:num>
  <w:num w:numId="3">
    <w:abstractNumId w:val="4"/>
  </w:num>
  <w:num w:numId="4">
    <w:abstractNumId w:val="0"/>
  </w:num>
  <w:num w:numId="5">
    <w:abstractNumId w:val="1"/>
  </w:num>
  <w:num w:numId="6">
    <w:abstractNumId w:val="6"/>
    <w:lvlOverride w:ilvl="0">
      <w:startOverride w:val="1"/>
    </w:lvlOverride>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mirrorMargins/>
  <w:attachedTemplate r:id="rId1"/>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D0"/>
    <w:rsid w:val="00092F11"/>
    <w:rsid w:val="000D22A5"/>
    <w:rsid w:val="000D7198"/>
    <w:rsid w:val="000D7CC4"/>
    <w:rsid w:val="00103F06"/>
    <w:rsid w:val="00104C1B"/>
    <w:rsid w:val="0013039D"/>
    <w:rsid w:val="00135415"/>
    <w:rsid w:val="001567EF"/>
    <w:rsid w:val="00194A2B"/>
    <w:rsid w:val="001B1B5E"/>
    <w:rsid w:val="001B63E7"/>
    <w:rsid w:val="00210AAE"/>
    <w:rsid w:val="00231D91"/>
    <w:rsid w:val="0028489E"/>
    <w:rsid w:val="002B25EE"/>
    <w:rsid w:val="002D43DF"/>
    <w:rsid w:val="002F6A9A"/>
    <w:rsid w:val="00314F2D"/>
    <w:rsid w:val="00342659"/>
    <w:rsid w:val="0038646B"/>
    <w:rsid w:val="004069CB"/>
    <w:rsid w:val="00412CB3"/>
    <w:rsid w:val="00445C34"/>
    <w:rsid w:val="004B223B"/>
    <w:rsid w:val="004C5D55"/>
    <w:rsid w:val="004D39AA"/>
    <w:rsid w:val="00503D98"/>
    <w:rsid w:val="00576ED5"/>
    <w:rsid w:val="005E3B21"/>
    <w:rsid w:val="005E6EAE"/>
    <w:rsid w:val="006A3382"/>
    <w:rsid w:val="006B04C9"/>
    <w:rsid w:val="006D2485"/>
    <w:rsid w:val="00734D06"/>
    <w:rsid w:val="007658D0"/>
    <w:rsid w:val="007E23F0"/>
    <w:rsid w:val="007F27A2"/>
    <w:rsid w:val="008072A3"/>
    <w:rsid w:val="00831B2F"/>
    <w:rsid w:val="008638F1"/>
    <w:rsid w:val="00872046"/>
    <w:rsid w:val="008A04E8"/>
    <w:rsid w:val="008A7D3C"/>
    <w:rsid w:val="008C03BC"/>
    <w:rsid w:val="008F4369"/>
    <w:rsid w:val="008F51B6"/>
    <w:rsid w:val="0090499A"/>
    <w:rsid w:val="00923E20"/>
    <w:rsid w:val="0093110D"/>
    <w:rsid w:val="00931FE4"/>
    <w:rsid w:val="0095314E"/>
    <w:rsid w:val="00970283"/>
    <w:rsid w:val="009F2E2E"/>
    <w:rsid w:val="00A12852"/>
    <w:rsid w:val="00A3019F"/>
    <w:rsid w:val="00A83EAB"/>
    <w:rsid w:val="00A848B2"/>
    <w:rsid w:val="00A90C34"/>
    <w:rsid w:val="00AB15EC"/>
    <w:rsid w:val="00BB7770"/>
    <w:rsid w:val="00BC1FDE"/>
    <w:rsid w:val="00C02CD7"/>
    <w:rsid w:val="00C2107C"/>
    <w:rsid w:val="00C43BC8"/>
    <w:rsid w:val="00C904AB"/>
    <w:rsid w:val="00D53D67"/>
    <w:rsid w:val="00D54402"/>
    <w:rsid w:val="00D64213"/>
    <w:rsid w:val="00D85849"/>
    <w:rsid w:val="00DA1989"/>
    <w:rsid w:val="00DD7BD8"/>
    <w:rsid w:val="00DE2529"/>
    <w:rsid w:val="00DE412B"/>
    <w:rsid w:val="00E22981"/>
    <w:rsid w:val="00E54908"/>
    <w:rsid w:val="00EB1FEE"/>
    <w:rsid w:val="00F34746"/>
    <w:rsid w:val="00F415E7"/>
    <w:rsid w:val="00F74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8"/>
    <o:shapelayout v:ext="edit">
      <o:idmap v:ext="edit" data="1"/>
    </o:shapelayout>
  </w:shapeDefaults>
  <w:decimalSymbol w:val=","/>
  <w:listSeparator w:val=";"/>
  <w15:chartTrackingRefBased/>
  <w15:docId w15:val="{94D4366C-DC89-4B40-88CD-E6B31E1C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5" w:semiHidden="1" w:unhideWhenUsed="1"/>
    <w:lsdException w:name="Normal Indent"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58D0"/>
  </w:style>
  <w:style w:type="paragraph" w:styleId="Nadpis1">
    <w:name w:val="heading 1"/>
    <w:basedOn w:val="Nadpiskapitoly"/>
    <w:next w:val="Textnormy"/>
    <w:link w:val="Nadpis1Char"/>
    <w:qFormat/>
    <w:rsid w:val="007658D0"/>
    <w:pPr>
      <w:outlineLvl w:val="0"/>
    </w:pPr>
  </w:style>
  <w:style w:type="paragraph" w:styleId="Nadpis2">
    <w:name w:val="heading 2"/>
    <w:basedOn w:val="Nadpislnku"/>
    <w:next w:val="Textnormy"/>
    <w:qFormat/>
    <w:rsid w:val="007658D0"/>
    <w:pPr>
      <w:outlineLvl w:val="1"/>
    </w:pPr>
  </w:style>
  <w:style w:type="paragraph" w:styleId="Nadpis3">
    <w:name w:val="heading 3"/>
    <w:basedOn w:val="Nadpislnku"/>
    <w:next w:val="Textnormy"/>
    <w:qFormat/>
    <w:rsid w:val="007658D0"/>
    <w:pPr>
      <w:outlineLvl w:val="2"/>
    </w:pPr>
  </w:style>
  <w:style w:type="paragraph" w:styleId="Nadpis4">
    <w:name w:val="heading 4"/>
    <w:basedOn w:val="Nadpislnku"/>
    <w:next w:val="Textnormy"/>
    <w:qFormat/>
    <w:rsid w:val="007658D0"/>
    <w:pPr>
      <w:outlineLvl w:val="3"/>
    </w:pPr>
  </w:style>
  <w:style w:type="paragraph" w:styleId="Nadpis5">
    <w:name w:val="heading 5"/>
    <w:basedOn w:val="Nadpislnku"/>
    <w:next w:val="Textnormy"/>
    <w:unhideWhenUsed/>
    <w:qFormat/>
    <w:rsid w:val="007658D0"/>
    <w:pPr>
      <w:outlineLvl w:val="4"/>
    </w:pPr>
  </w:style>
  <w:style w:type="paragraph" w:styleId="Nadpis6">
    <w:name w:val="heading 6"/>
    <w:basedOn w:val="Nadpislnku"/>
    <w:next w:val="Textnormy"/>
    <w:unhideWhenUsed/>
    <w:qFormat/>
    <w:rsid w:val="007658D0"/>
    <w:pPr>
      <w:outlineLvl w:val="5"/>
    </w:pPr>
  </w:style>
  <w:style w:type="paragraph" w:styleId="Nadpis7">
    <w:name w:val="heading 7"/>
    <w:basedOn w:val="Nadpislnku"/>
    <w:next w:val="Textnormy"/>
    <w:unhideWhenUsed/>
    <w:qFormat/>
    <w:rsid w:val="007658D0"/>
    <w:pPr>
      <w:outlineLvl w:val="6"/>
    </w:pPr>
  </w:style>
  <w:style w:type="paragraph" w:styleId="Nadpis8">
    <w:name w:val="heading 8"/>
    <w:basedOn w:val="Nadpislnku"/>
    <w:next w:val="Textnormy"/>
    <w:unhideWhenUsed/>
    <w:qFormat/>
    <w:rsid w:val="007658D0"/>
    <w:pPr>
      <w:outlineLvl w:val="7"/>
    </w:pPr>
  </w:style>
  <w:style w:type="paragraph" w:styleId="Nadpis9">
    <w:name w:val="heading 9"/>
    <w:basedOn w:val="Nadpislnku"/>
    <w:next w:val="Textnormy"/>
    <w:unhideWhenUsed/>
    <w:qFormat/>
    <w:rsid w:val="007658D0"/>
    <w:pPr>
      <w:outlineLvl w:val="8"/>
    </w:pPr>
  </w:style>
  <w:style w:type="character" w:default="1" w:styleId="Standardnpsmoodstavce">
    <w:name w:val="Default Paragraph Font"/>
    <w:uiPriority w:val="1"/>
    <w:semiHidden/>
    <w:unhideWhenUsed/>
    <w:rsid w:val="007658D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7658D0"/>
  </w:style>
  <w:style w:type="paragraph" w:customStyle="1" w:styleId="Nadpiskapitoly">
    <w:name w:val="Nadpis kapitoly"/>
    <w:basedOn w:val="Nadpislnku"/>
    <w:next w:val="Textnormy"/>
    <w:rsid w:val="007658D0"/>
    <w:pPr>
      <w:spacing w:before="360" w:after="180"/>
    </w:pPr>
    <w:rPr>
      <w:sz w:val="24"/>
    </w:rPr>
  </w:style>
  <w:style w:type="paragraph" w:customStyle="1" w:styleId="Nadpislnku">
    <w:name w:val="Nadpis článku"/>
    <w:basedOn w:val="Textnormy"/>
    <w:next w:val="Textnormy"/>
    <w:link w:val="NadpislnkuChar"/>
    <w:rsid w:val="007658D0"/>
    <w:pPr>
      <w:keepNext/>
      <w:keepLines/>
      <w:suppressAutoHyphens/>
      <w:spacing w:before="240"/>
      <w:jc w:val="left"/>
    </w:pPr>
    <w:rPr>
      <w:b/>
    </w:rPr>
  </w:style>
  <w:style w:type="paragraph" w:customStyle="1" w:styleId="Textnormy">
    <w:name w:val="Text normy"/>
    <w:link w:val="TextnormyChar1"/>
    <w:rsid w:val="007658D0"/>
    <w:pPr>
      <w:spacing w:after="120"/>
      <w:jc w:val="both"/>
    </w:pPr>
  </w:style>
  <w:style w:type="paragraph" w:customStyle="1" w:styleId="1StrTrZn">
    <w:name w:val="1StrTrZn"/>
    <w:basedOn w:val="Textnormy"/>
    <w:rsid w:val="007658D0"/>
    <w:pPr>
      <w:spacing w:before="80" w:after="80" w:line="340" w:lineRule="exact"/>
      <w:jc w:val="left"/>
    </w:pPr>
    <w:rPr>
      <w:sz w:val="28"/>
    </w:rPr>
  </w:style>
  <w:style w:type="paragraph" w:customStyle="1" w:styleId="1StrNN-2-23">
    <w:name w:val="1StrNN-2-23"/>
    <w:basedOn w:val="1StrNN-1-23"/>
    <w:rsid w:val="007658D0"/>
    <w:pPr>
      <w:spacing w:before="480"/>
    </w:pPr>
  </w:style>
  <w:style w:type="paragraph" w:customStyle="1" w:styleId="1StrNN-1-23">
    <w:name w:val="1StrNN-1-23"/>
    <w:basedOn w:val="Textnormy"/>
    <w:rsid w:val="007658D0"/>
    <w:pPr>
      <w:widowControl w:val="0"/>
      <w:suppressAutoHyphens/>
      <w:spacing w:before="640" w:after="0" w:line="340" w:lineRule="exact"/>
      <w:ind w:right="567"/>
      <w:jc w:val="left"/>
    </w:pPr>
    <w:rPr>
      <w:b/>
      <w:sz w:val="28"/>
    </w:rPr>
  </w:style>
  <w:style w:type="paragraph" w:customStyle="1" w:styleId="Cizojazynnzev">
    <w:name w:val="Cizojazyčný název"/>
    <w:basedOn w:val="Textnormy"/>
    <w:rsid w:val="007658D0"/>
    <w:pPr>
      <w:widowControl w:val="0"/>
      <w:suppressAutoHyphens/>
      <w:jc w:val="left"/>
    </w:pPr>
    <w:rPr>
      <w:sz w:val="18"/>
      <w:lang w:val="en-GB"/>
    </w:rPr>
  </w:style>
  <w:style w:type="paragraph" w:styleId="slovanseznam">
    <w:name w:val="List Number"/>
    <w:basedOn w:val="Textnormy"/>
    <w:rsid w:val="007658D0"/>
    <w:pPr>
      <w:numPr>
        <w:numId w:val="2"/>
      </w:numPr>
      <w:ind w:left="284" w:hanging="284"/>
    </w:pPr>
  </w:style>
  <w:style w:type="paragraph" w:styleId="Rejstk1">
    <w:name w:val="index 1"/>
    <w:basedOn w:val="Textnormy"/>
    <w:next w:val="Textnormy"/>
    <w:rsid w:val="007658D0"/>
    <w:pPr>
      <w:tabs>
        <w:tab w:val="right" w:pos="9923"/>
      </w:tabs>
      <w:spacing w:after="60"/>
      <w:ind w:left="198" w:hanging="198"/>
      <w:jc w:val="left"/>
    </w:pPr>
    <w:rPr>
      <w:sz w:val="18"/>
    </w:rPr>
  </w:style>
  <w:style w:type="paragraph" w:customStyle="1" w:styleId="Shodnost">
    <w:name w:val="Shodnost"/>
    <w:basedOn w:val="Textnormy"/>
    <w:next w:val="Textnormy"/>
    <w:rsid w:val="007658D0"/>
    <w:pPr>
      <w:keepNext/>
      <w:keepLines/>
      <w:spacing w:before="240" w:after="360"/>
      <w:jc w:val="right"/>
    </w:pPr>
    <w:rPr>
      <w:sz w:val="28"/>
    </w:rPr>
  </w:style>
  <w:style w:type="character" w:styleId="slostrnky">
    <w:name w:val="page number"/>
    <w:basedOn w:val="Standardnpsmoodstavce"/>
    <w:rsid w:val="007658D0"/>
    <w:rPr>
      <w:rFonts w:ascii="Arial" w:hAnsi="Arial"/>
      <w:sz w:val="18"/>
    </w:rPr>
  </w:style>
  <w:style w:type="paragraph" w:customStyle="1" w:styleId="Poznmka">
    <w:name w:val="Poznámka"/>
    <w:basedOn w:val="Textnormy"/>
    <w:next w:val="Textnormy"/>
    <w:rsid w:val="007658D0"/>
    <w:pPr>
      <w:spacing w:before="200" w:after="200"/>
    </w:pPr>
    <w:rPr>
      <w:sz w:val="18"/>
    </w:rPr>
  </w:style>
  <w:style w:type="paragraph" w:customStyle="1" w:styleId="Seznampoznmek">
    <w:name w:val="Seznam poznámek"/>
    <w:basedOn w:val="Poznmka"/>
    <w:rsid w:val="007658D0"/>
    <w:pPr>
      <w:spacing w:before="0" w:after="120"/>
      <w:ind w:left="284" w:hanging="284"/>
    </w:pPr>
  </w:style>
  <w:style w:type="paragraph" w:styleId="Zhlav">
    <w:name w:val="header"/>
    <w:basedOn w:val="Textnormy"/>
    <w:rsid w:val="007658D0"/>
    <w:pPr>
      <w:spacing w:after="360"/>
    </w:pPr>
    <w:rPr>
      <w:sz w:val="18"/>
    </w:rPr>
  </w:style>
  <w:style w:type="paragraph" w:styleId="Zpat">
    <w:name w:val="footer"/>
    <w:basedOn w:val="Textnormy"/>
    <w:rsid w:val="007658D0"/>
    <w:pPr>
      <w:jc w:val="center"/>
    </w:pPr>
    <w:rPr>
      <w:sz w:val="18"/>
    </w:rPr>
  </w:style>
  <w:style w:type="paragraph" w:styleId="Zkladntext">
    <w:name w:val="Body Text"/>
    <w:basedOn w:val="Normln"/>
    <w:link w:val="ZkladntextChar"/>
    <w:semiHidden/>
    <w:rsid w:val="007658D0"/>
    <w:pPr>
      <w:spacing w:after="120"/>
    </w:pPr>
  </w:style>
  <w:style w:type="paragraph" w:styleId="Obsah2">
    <w:name w:val="toc 2"/>
    <w:basedOn w:val="Obsah1"/>
    <w:next w:val="Textnormy"/>
    <w:uiPriority w:val="39"/>
    <w:rsid w:val="007658D0"/>
  </w:style>
  <w:style w:type="paragraph" w:styleId="Obsah1">
    <w:name w:val="toc 1"/>
    <w:basedOn w:val="Textnormy"/>
    <w:next w:val="Textnormy"/>
    <w:uiPriority w:val="39"/>
    <w:rsid w:val="007658D0"/>
    <w:pPr>
      <w:tabs>
        <w:tab w:val="right" w:leader="dot" w:pos="9923"/>
      </w:tabs>
      <w:ind w:left="567" w:hanging="567"/>
      <w:jc w:val="left"/>
    </w:pPr>
    <w:rPr>
      <w:noProof/>
      <w:sz w:val="18"/>
    </w:rPr>
  </w:style>
  <w:style w:type="paragraph" w:customStyle="1" w:styleId="bibliografie">
    <w:name w:val="bibliografie"/>
    <w:basedOn w:val="slovanseznamvnorm"/>
    <w:next w:val="Textnormy"/>
    <w:rsid w:val="007658D0"/>
    <w:pPr>
      <w:numPr>
        <w:numId w:val="7"/>
      </w:numPr>
      <w:tabs>
        <w:tab w:val="clear" w:pos="360"/>
      </w:tabs>
      <w:ind w:left="567" w:hanging="567"/>
    </w:pPr>
  </w:style>
  <w:style w:type="paragraph" w:styleId="Obsah3">
    <w:name w:val="toc 3"/>
    <w:basedOn w:val="Obsah1"/>
    <w:next w:val="Textnormy"/>
    <w:rsid w:val="007658D0"/>
  </w:style>
  <w:style w:type="paragraph" w:styleId="Obsah4">
    <w:name w:val="toc 4"/>
    <w:basedOn w:val="Obsah1"/>
    <w:next w:val="Textnormy"/>
    <w:rsid w:val="007658D0"/>
  </w:style>
  <w:style w:type="paragraph" w:styleId="Obsah6">
    <w:name w:val="toc 6"/>
    <w:basedOn w:val="Obsah1"/>
    <w:next w:val="Textnormy"/>
    <w:rsid w:val="007658D0"/>
  </w:style>
  <w:style w:type="paragraph" w:styleId="Obsah7">
    <w:name w:val="toc 7"/>
    <w:basedOn w:val="Obsah1"/>
    <w:next w:val="Textnormy"/>
    <w:semiHidden/>
    <w:rsid w:val="007658D0"/>
  </w:style>
  <w:style w:type="paragraph" w:styleId="Obsah8">
    <w:name w:val="toc 8"/>
    <w:basedOn w:val="Obsah1"/>
    <w:next w:val="Textnormy"/>
    <w:semiHidden/>
    <w:rsid w:val="007658D0"/>
  </w:style>
  <w:style w:type="character" w:styleId="Znakapoznpodarou">
    <w:name w:val="footnote reference"/>
    <w:basedOn w:val="Standardnpsmoodstavce"/>
    <w:rsid w:val="007658D0"/>
    <w:rPr>
      <w:vertAlign w:val="superscript"/>
    </w:rPr>
  </w:style>
  <w:style w:type="paragraph" w:customStyle="1" w:styleId="ABCseznamCZ">
    <w:name w:val="ABC seznamCZ"/>
    <w:basedOn w:val="Textnormy"/>
    <w:rsid w:val="007658D0"/>
    <w:pPr>
      <w:numPr>
        <w:numId w:val="6"/>
      </w:numPr>
    </w:pPr>
  </w:style>
  <w:style w:type="paragraph" w:customStyle="1" w:styleId="slovanseznamvnorm">
    <w:name w:val="Číslovaný seznam v normě"/>
    <w:basedOn w:val="Textnormy"/>
    <w:rsid w:val="007658D0"/>
    <w:pPr>
      <w:numPr>
        <w:numId w:val="3"/>
      </w:numPr>
      <w:tabs>
        <w:tab w:val="clear" w:pos="360"/>
      </w:tabs>
    </w:pPr>
  </w:style>
  <w:style w:type="paragraph" w:customStyle="1" w:styleId="Seznamvnorm">
    <w:name w:val="Seznam v normě"/>
    <w:basedOn w:val="Textnormy"/>
    <w:rsid w:val="007658D0"/>
    <w:pPr>
      <w:numPr>
        <w:numId w:val="4"/>
      </w:numPr>
      <w:tabs>
        <w:tab w:val="clear" w:pos="360"/>
      </w:tabs>
      <w:ind w:left="284" w:hanging="284"/>
    </w:pPr>
  </w:style>
  <w:style w:type="paragraph" w:customStyle="1" w:styleId="Obrzek">
    <w:name w:val="Obrázek"/>
    <w:basedOn w:val="Textnormy"/>
    <w:next w:val="NadpisTabObr"/>
    <w:rsid w:val="007658D0"/>
    <w:pPr>
      <w:keepNext/>
      <w:spacing w:after="160"/>
      <w:jc w:val="center"/>
    </w:pPr>
  </w:style>
  <w:style w:type="paragraph" w:customStyle="1" w:styleId="NadpisTabObr">
    <w:name w:val="NadpisTabObr"/>
    <w:basedOn w:val="Nadpislnku"/>
    <w:next w:val="Textnormy"/>
    <w:rsid w:val="007658D0"/>
    <w:pPr>
      <w:keepNext w:val="0"/>
      <w:jc w:val="center"/>
    </w:pPr>
  </w:style>
  <w:style w:type="paragraph" w:customStyle="1" w:styleId="Abecednseznam">
    <w:name w:val="Abecední seznam"/>
    <w:basedOn w:val="Textnormy"/>
    <w:rsid w:val="007658D0"/>
    <w:pPr>
      <w:numPr>
        <w:numId w:val="1"/>
      </w:numPr>
      <w:tabs>
        <w:tab w:val="clear" w:pos="360"/>
      </w:tabs>
    </w:pPr>
  </w:style>
  <w:style w:type="paragraph" w:styleId="Textpoznpodarou">
    <w:name w:val="footnote text"/>
    <w:basedOn w:val="Poznmka"/>
    <w:rsid w:val="007658D0"/>
    <w:pPr>
      <w:spacing w:before="60" w:after="0"/>
    </w:pPr>
  </w:style>
  <w:style w:type="paragraph" w:styleId="Obsah9">
    <w:name w:val="toc 9"/>
    <w:basedOn w:val="Normln"/>
    <w:next w:val="Normln"/>
    <w:autoRedefine/>
    <w:semiHidden/>
    <w:rsid w:val="007658D0"/>
    <w:pPr>
      <w:ind w:left="1600"/>
    </w:pPr>
  </w:style>
  <w:style w:type="paragraph" w:customStyle="1" w:styleId="1Str1Rad">
    <w:name w:val="1Str1Rad"/>
    <w:basedOn w:val="Textnormy"/>
    <w:rsid w:val="007658D0"/>
    <w:pPr>
      <w:widowControl w:val="0"/>
      <w:tabs>
        <w:tab w:val="left" w:pos="7371"/>
        <w:tab w:val="right" w:pos="9923"/>
      </w:tabs>
    </w:pPr>
  </w:style>
  <w:style w:type="paragraph" w:customStyle="1" w:styleId="esknorma">
    <w:name w:val="Česká norma"/>
    <w:basedOn w:val="Textnormy"/>
    <w:next w:val="1Str1Rad"/>
    <w:rsid w:val="007658D0"/>
    <w:pPr>
      <w:spacing w:after="0"/>
      <w:jc w:val="left"/>
    </w:pPr>
    <w:rPr>
      <w:sz w:val="28"/>
    </w:rPr>
  </w:style>
  <w:style w:type="paragraph" w:customStyle="1" w:styleId="Tir">
    <w:name w:val="Tiráž"/>
    <w:basedOn w:val="Normln"/>
    <w:rsid w:val="007658D0"/>
    <w:pPr>
      <w:framePr w:w="9356" w:hSpace="142" w:wrap="around" w:hAnchor="margin" w:yAlign="bottom" w:anchorLock="1"/>
    </w:pPr>
    <w:rPr>
      <w:noProof/>
      <w:sz w:val="16"/>
    </w:rPr>
  </w:style>
  <w:style w:type="paragraph" w:styleId="Hlavikarejstku">
    <w:name w:val="index heading"/>
    <w:basedOn w:val="Textnormy"/>
    <w:next w:val="Rejstk1"/>
    <w:rsid w:val="007658D0"/>
    <w:pPr>
      <w:spacing w:before="180" w:after="60"/>
      <w:jc w:val="left"/>
    </w:pPr>
    <w:rPr>
      <w:b/>
      <w:sz w:val="18"/>
    </w:rPr>
  </w:style>
  <w:style w:type="paragraph" w:customStyle="1" w:styleId="Texttabulky">
    <w:name w:val="Text tabulky"/>
    <w:basedOn w:val="Textnormy"/>
    <w:rsid w:val="007658D0"/>
    <w:pPr>
      <w:suppressAutoHyphens/>
      <w:spacing w:before="60" w:after="60"/>
      <w:jc w:val="left"/>
    </w:pPr>
    <w:rPr>
      <w:sz w:val="18"/>
    </w:rPr>
  </w:style>
  <w:style w:type="paragraph" w:customStyle="1" w:styleId="1StrCopyright">
    <w:name w:val="1StrCopyright"/>
    <w:basedOn w:val="Zpat"/>
    <w:rsid w:val="007658D0"/>
    <w:pPr>
      <w:tabs>
        <w:tab w:val="left" w:pos="2155"/>
        <w:tab w:val="right" w:pos="9923"/>
      </w:tabs>
      <w:spacing w:after="0"/>
      <w:ind w:left="2126" w:hanging="2126"/>
      <w:jc w:val="left"/>
    </w:pPr>
  </w:style>
  <w:style w:type="paragraph" w:customStyle="1" w:styleId="EvropNorma">
    <w:name w:val="EvropNorma"/>
    <w:basedOn w:val="Textnormy"/>
    <w:rsid w:val="007658D0"/>
    <w:pPr>
      <w:pageBreakBefore/>
      <w:pBdr>
        <w:bottom w:val="single" w:sz="6" w:space="6" w:color="auto"/>
      </w:pBdr>
      <w:tabs>
        <w:tab w:val="left" w:pos="8505"/>
      </w:tabs>
      <w:jc w:val="left"/>
    </w:pPr>
    <w:rPr>
      <w:b/>
      <w:kern w:val="28"/>
      <w:sz w:val="24"/>
    </w:rPr>
  </w:style>
  <w:style w:type="paragraph" w:customStyle="1" w:styleId="ICS">
    <w:name w:val="ICS"/>
    <w:basedOn w:val="Textnormy"/>
    <w:rsid w:val="007658D0"/>
    <w:pPr>
      <w:tabs>
        <w:tab w:val="right" w:pos="9923"/>
      </w:tabs>
      <w:spacing w:after="480"/>
    </w:pPr>
    <w:rPr>
      <w:kern w:val="28"/>
    </w:rPr>
  </w:style>
  <w:style w:type="paragraph" w:customStyle="1" w:styleId="NzNorCZ">
    <w:name w:val="NázNorCZ"/>
    <w:basedOn w:val="Textnormy"/>
    <w:next w:val="NzNorUS"/>
    <w:rsid w:val="007658D0"/>
    <w:pPr>
      <w:suppressAutoHyphens/>
      <w:spacing w:after="240"/>
      <w:ind w:left="1134" w:right="1134"/>
      <w:jc w:val="center"/>
    </w:pPr>
    <w:rPr>
      <w:b/>
    </w:rPr>
  </w:style>
  <w:style w:type="paragraph" w:customStyle="1" w:styleId="NzNorUS">
    <w:name w:val="NázNorUS"/>
    <w:basedOn w:val="Textnormy"/>
    <w:next w:val="NzNorFraGer"/>
    <w:rsid w:val="007658D0"/>
    <w:pPr>
      <w:suppressAutoHyphens/>
      <w:spacing w:after="240"/>
      <w:ind w:left="1134" w:right="1134"/>
      <w:jc w:val="center"/>
    </w:pPr>
    <w:rPr>
      <w:lang w:val="en-GB"/>
    </w:rPr>
  </w:style>
  <w:style w:type="paragraph" w:customStyle="1" w:styleId="NzNorFraGer">
    <w:name w:val="NázNorFraGer"/>
    <w:basedOn w:val="Textnormy"/>
    <w:next w:val="Textnormy"/>
    <w:rsid w:val="007658D0"/>
    <w:pPr>
      <w:tabs>
        <w:tab w:val="left" w:pos="4536"/>
      </w:tabs>
      <w:suppressAutoHyphens/>
      <w:spacing w:after="480"/>
      <w:jc w:val="left"/>
    </w:pPr>
  </w:style>
  <w:style w:type="paragraph" w:customStyle="1" w:styleId="1StrCN">
    <w:name w:val="1StrCN"/>
    <w:basedOn w:val="Textnormy"/>
    <w:next w:val="1StrTrZn"/>
    <w:rsid w:val="007658D0"/>
    <w:pPr>
      <w:spacing w:before="180" w:after="0" w:line="340" w:lineRule="exact"/>
      <w:jc w:val="left"/>
    </w:pPr>
    <w:rPr>
      <w:b/>
      <w:noProof/>
      <w:sz w:val="32"/>
    </w:rPr>
  </w:style>
  <w:style w:type="paragraph" w:customStyle="1" w:styleId="1StrNN-3-23">
    <w:name w:val="1StrNN-3-23"/>
    <w:basedOn w:val="1StrNN-1-23"/>
    <w:rsid w:val="007658D0"/>
    <w:pPr>
      <w:spacing w:before="300"/>
    </w:pPr>
  </w:style>
  <w:style w:type="paragraph" w:customStyle="1" w:styleId="1StrNN-X">
    <w:name w:val="1StrNN-X"/>
    <w:basedOn w:val="1StrNN-1-23"/>
    <w:rsid w:val="007658D0"/>
    <w:pPr>
      <w:spacing w:before="180" w:after="180"/>
    </w:pPr>
  </w:style>
  <w:style w:type="paragraph" w:styleId="Titulek">
    <w:name w:val="caption"/>
    <w:basedOn w:val="Normln"/>
    <w:next w:val="Normln"/>
    <w:unhideWhenUsed/>
    <w:qFormat/>
    <w:rsid w:val="007658D0"/>
    <w:pPr>
      <w:spacing w:before="120" w:after="120"/>
    </w:pPr>
    <w:rPr>
      <w:b/>
    </w:rPr>
  </w:style>
  <w:style w:type="paragraph" w:customStyle="1" w:styleId="1StrNN-1-4">
    <w:name w:val="1StrNN-1-4"/>
    <w:basedOn w:val="1StrNN-1-23"/>
    <w:rsid w:val="007658D0"/>
    <w:pPr>
      <w:spacing w:before="800"/>
    </w:pPr>
  </w:style>
  <w:style w:type="paragraph" w:customStyle="1" w:styleId="1StrNN-2-4">
    <w:name w:val="1StrNN-2-4"/>
    <w:basedOn w:val="1StrNN-1-23"/>
    <w:rsid w:val="007658D0"/>
  </w:style>
  <w:style w:type="paragraph" w:customStyle="1" w:styleId="1StrNN-3-4">
    <w:name w:val="1StrNN-3-4"/>
    <w:basedOn w:val="1StrNN-1-23"/>
    <w:rsid w:val="007658D0"/>
    <w:pPr>
      <w:spacing w:before="460"/>
    </w:pPr>
  </w:style>
  <w:style w:type="paragraph" w:customStyle="1" w:styleId="1StrNN-4-4">
    <w:name w:val="1StrNN-4-4"/>
    <w:basedOn w:val="1StrNN-1-23"/>
    <w:rsid w:val="007658D0"/>
    <w:pPr>
      <w:spacing w:before="340"/>
    </w:pPr>
  </w:style>
  <w:style w:type="paragraph" w:customStyle="1" w:styleId="ABCSeznamUS">
    <w:name w:val="ABC SeznamUS"/>
    <w:basedOn w:val="Textnormy"/>
    <w:rsid w:val="007658D0"/>
    <w:pPr>
      <w:numPr>
        <w:numId w:val="5"/>
      </w:numPr>
      <w:tabs>
        <w:tab w:val="clear" w:pos="360"/>
      </w:tabs>
    </w:pPr>
    <w:rPr>
      <w:snapToGrid w:val="0"/>
      <w:lang w:val="en-US"/>
    </w:rPr>
  </w:style>
  <w:style w:type="paragraph" w:customStyle="1" w:styleId="TextnormyUS">
    <w:name w:val="Text normy US"/>
    <w:basedOn w:val="Textnormy"/>
    <w:link w:val="TextnormyUSChar"/>
    <w:autoRedefine/>
    <w:rsid w:val="007658D0"/>
    <w:pPr>
      <w:spacing w:after="0"/>
    </w:pPr>
    <w:rPr>
      <w:noProof/>
    </w:rPr>
  </w:style>
  <w:style w:type="paragraph" w:customStyle="1" w:styleId="Textnormy1str">
    <w:name w:val="Text normy 1str"/>
    <w:basedOn w:val="Textnormy"/>
    <w:rsid w:val="007658D0"/>
    <w:pPr>
      <w:jc w:val="left"/>
    </w:pPr>
  </w:style>
  <w:style w:type="paragraph" w:customStyle="1" w:styleId="1StrNN-4-3">
    <w:name w:val="1StrNN-4-3"/>
    <w:basedOn w:val="1StrNN-1-23"/>
    <w:rsid w:val="007658D0"/>
    <w:pPr>
      <w:spacing w:before="160"/>
    </w:pPr>
  </w:style>
  <w:style w:type="paragraph" w:customStyle="1" w:styleId="Upozornn">
    <w:name w:val="Upozornění"/>
    <w:basedOn w:val="Normln"/>
    <w:rsid w:val="007658D0"/>
    <w:pPr>
      <w:framePr w:w="9356" w:hSpace="142" w:wrap="around" w:hAnchor="margin" w:yAlign="bottom" w:anchorLock="1"/>
      <w:jc w:val="both"/>
    </w:pPr>
    <w:rPr>
      <w:sz w:val="18"/>
    </w:rPr>
  </w:style>
  <w:style w:type="character" w:customStyle="1" w:styleId="TextnormyChar1">
    <w:name w:val="Text normy Char1"/>
    <w:basedOn w:val="Standardnpsmoodstavce"/>
    <w:link w:val="Textnormy"/>
    <w:rsid w:val="007658D0"/>
  </w:style>
  <w:style w:type="character" w:styleId="Hypertextovodkaz">
    <w:name w:val="Hyperlink"/>
    <w:unhideWhenUsed/>
    <w:rsid w:val="007658D0"/>
    <w:rPr>
      <w:color w:val="0000FF"/>
      <w:u w:val="single"/>
    </w:rPr>
  </w:style>
  <w:style w:type="table" w:styleId="Mkatabulky">
    <w:name w:val="Table Grid"/>
    <w:basedOn w:val="Normlntabulka"/>
    <w:rsid w:val="00765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7658D0"/>
    <w:rPr>
      <w:b/>
      <w:sz w:val="24"/>
    </w:rPr>
  </w:style>
  <w:style w:type="character" w:styleId="Odkaznakoment">
    <w:name w:val="annotation reference"/>
    <w:basedOn w:val="Standardnpsmoodstavce"/>
    <w:unhideWhenUsed/>
    <w:rsid w:val="007658D0"/>
    <w:rPr>
      <w:sz w:val="16"/>
      <w:szCs w:val="16"/>
    </w:rPr>
  </w:style>
  <w:style w:type="paragraph" w:styleId="Textbubliny">
    <w:name w:val="Balloon Text"/>
    <w:basedOn w:val="Normln"/>
    <w:link w:val="TextbublinyChar"/>
    <w:rsid w:val="007658D0"/>
    <w:rPr>
      <w:rFonts w:ascii="Tahoma" w:hAnsi="Tahoma" w:cs="Tahoma"/>
      <w:sz w:val="16"/>
      <w:szCs w:val="16"/>
    </w:rPr>
  </w:style>
  <w:style w:type="character" w:customStyle="1" w:styleId="TextbublinyChar">
    <w:name w:val="Text bubliny Char"/>
    <w:basedOn w:val="Standardnpsmoodstavce"/>
    <w:link w:val="Textbubliny"/>
    <w:rsid w:val="0028489E"/>
    <w:rPr>
      <w:rFonts w:ascii="Tahoma" w:hAnsi="Tahoma" w:cs="Tahoma"/>
      <w:sz w:val="16"/>
      <w:szCs w:val="16"/>
    </w:rPr>
  </w:style>
  <w:style w:type="paragraph" w:styleId="Textkomente">
    <w:name w:val="annotation text"/>
    <w:basedOn w:val="Normln"/>
    <w:link w:val="TextkomenteChar"/>
    <w:unhideWhenUsed/>
    <w:rsid w:val="007658D0"/>
  </w:style>
  <w:style w:type="character" w:customStyle="1" w:styleId="TextkomenteChar">
    <w:name w:val="Text komentáře Char"/>
    <w:basedOn w:val="Standardnpsmoodstavce"/>
    <w:link w:val="Textkomente"/>
    <w:rsid w:val="007658D0"/>
  </w:style>
  <w:style w:type="character" w:customStyle="1" w:styleId="TextnormyCharChar">
    <w:name w:val="Text normy Char Char"/>
    <w:semiHidden/>
    <w:rsid w:val="007658D0"/>
    <w:rPr>
      <w:rFonts w:ascii="Arial" w:hAnsi="Arial"/>
      <w:noProof w:val="0"/>
      <w:lang w:val="cs-CZ" w:eastAsia="cs-CZ" w:bidi="ar-SA"/>
    </w:rPr>
  </w:style>
  <w:style w:type="character" w:customStyle="1" w:styleId="ZkladntextChar">
    <w:name w:val="Základní text Char"/>
    <w:basedOn w:val="Standardnpsmoodstavce"/>
    <w:link w:val="Zkladntext"/>
    <w:semiHidden/>
    <w:rsid w:val="007658D0"/>
  </w:style>
  <w:style w:type="paragraph" w:styleId="Pedmtkomente">
    <w:name w:val="annotation subject"/>
    <w:basedOn w:val="Textkomente"/>
    <w:next w:val="Textkomente"/>
    <w:link w:val="PedmtkomenteChar"/>
    <w:semiHidden/>
    <w:unhideWhenUsed/>
    <w:rsid w:val="007658D0"/>
    <w:rPr>
      <w:b/>
      <w:bCs/>
    </w:rPr>
  </w:style>
  <w:style w:type="character" w:customStyle="1" w:styleId="PedmtkomenteChar">
    <w:name w:val="Předmět komentáře Char"/>
    <w:basedOn w:val="TextkomenteChar"/>
    <w:link w:val="Pedmtkomente"/>
    <w:semiHidden/>
    <w:rsid w:val="007658D0"/>
    <w:rPr>
      <w:b/>
      <w:bCs/>
    </w:rPr>
  </w:style>
  <w:style w:type="character" w:customStyle="1" w:styleId="NadpislnkuChar">
    <w:name w:val="Nadpis článku Char"/>
    <w:link w:val="Nadpislnku"/>
    <w:rsid w:val="007658D0"/>
    <w:rPr>
      <w:b/>
    </w:rPr>
  </w:style>
  <w:style w:type="character" w:styleId="Sledovanodkaz">
    <w:name w:val="FollowedHyperlink"/>
    <w:basedOn w:val="Standardnpsmoodstavce"/>
    <w:semiHidden/>
    <w:unhideWhenUsed/>
    <w:rsid w:val="007658D0"/>
    <w:rPr>
      <w:color w:val="954F72" w:themeColor="followedHyperlink"/>
      <w:u w:val="single"/>
    </w:rPr>
  </w:style>
  <w:style w:type="character" w:customStyle="1" w:styleId="TextnormyUSChar">
    <w:name w:val="Text normy US Char"/>
    <w:link w:val="TextnormyUS"/>
    <w:rsid w:val="007658D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Edicni\SABLONY\Aktualni\Normy18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Normy18i.dotx</Template>
  <TotalTime>17</TotalTime>
  <Pages>9</Pages>
  <Words>1579</Words>
  <Characters>9318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ČESKÁ TECHNICKÁ NORMA</vt:lpstr>
    </vt:vector>
  </TitlesOfParts>
  <Company>ÚNMZ</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TECHNICKÁ NORMA</dc:title>
  <dc:subject/>
  <dc:creator>Koutská Miloslava</dc:creator>
  <cp:keywords/>
  <cp:lastModifiedBy>Koutská Miloslava</cp:lastModifiedBy>
  <cp:revision>1</cp:revision>
  <cp:lastPrinted>2004-12-14T08:45:00Z</cp:lastPrinted>
  <dcterms:created xsi:type="dcterms:W3CDTF">2018-03-28T08:05:00Z</dcterms:created>
  <dcterms:modified xsi:type="dcterms:W3CDTF">2018-03-28T08:22:00Z</dcterms:modified>
</cp:coreProperties>
</file>